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Ind w:w="-998" w:type="dxa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E360C2" w:rsidTr="00E360C2">
        <w:tc>
          <w:tcPr>
            <w:tcW w:w="2407" w:type="dxa"/>
          </w:tcPr>
          <w:p w:rsidR="00E360C2" w:rsidRDefault="00E360C2">
            <w:bookmarkStart w:id="0" w:name="_GoBack"/>
            <w:r>
              <w:t>Aspektas</w:t>
            </w:r>
          </w:p>
        </w:tc>
        <w:tc>
          <w:tcPr>
            <w:tcW w:w="2407" w:type="dxa"/>
          </w:tcPr>
          <w:p w:rsidR="00E360C2" w:rsidRDefault="00E360C2">
            <w:r>
              <w:t>Žinau</w:t>
            </w:r>
          </w:p>
        </w:tc>
        <w:tc>
          <w:tcPr>
            <w:tcW w:w="2407" w:type="dxa"/>
          </w:tcPr>
          <w:p w:rsidR="00E360C2" w:rsidRDefault="00E360C2">
            <w:r>
              <w:t>Noriu sužinoti</w:t>
            </w:r>
          </w:p>
        </w:tc>
        <w:tc>
          <w:tcPr>
            <w:tcW w:w="2407" w:type="dxa"/>
          </w:tcPr>
          <w:p w:rsidR="00E360C2" w:rsidRDefault="00E360C2">
            <w:r>
              <w:t>Sužinojau</w:t>
            </w:r>
          </w:p>
        </w:tc>
      </w:tr>
      <w:bookmarkEnd w:id="0"/>
      <w:tr w:rsidR="00E360C2" w:rsidTr="00E360C2">
        <w:tc>
          <w:tcPr>
            <w:tcW w:w="2407" w:type="dxa"/>
          </w:tcPr>
          <w:p w:rsidR="00E360C2" w:rsidRDefault="00E360C2">
            <w:r>
              <w:t>Liudo Vasario psichika veikėjo ir pasakotojo akimis</w:t>
            </w:r>
            <w:r w:rsidR="00FD6CA2">
              <w:t>.</w:t>
            </w:r>
          </w:p>
          <w:p w:rsidR="00E360C2" w:rsidRDefault="00E360C2"/>
          <w:p w:rsidR="00E360C2" w:rsidRDefault="00FD6CA2">
            <w:r>
              <w:t xml:space="preserve">Kokius išgyvenimus patyrė, kaip jų paveiktas? </w:t>
            </w:r>
            <w:r w:rsidR="00E360C2">
              <w:t>(remkitės užrašais, ypač romano siužeto skirstymu į vidinį ir išorinį).</w:t>
            </w:r>
          </w:p>
          <w:p w:rsidR="00E360C2" w:rsidRDefault="00E360C2"/>
          <w:p w:rsidR="00E360C2" w:rsidRDefault="00E360C2"/>
          <w:p w:rsidR="00E360C2" w:rsidRDefault="00E360C2"/>
        </w:tc>
        <w:tc>
          <w:tcPr>
            <w:tcW w:w="2407" w:type="dxa"/>
          </w:tcPr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</w:tc>
        <w:tc>
          <w:tcPr>
            <w:tcW w:w="2407" w:type="dxa"/>
          </w:tcPr>
          <w:p w:rsidR="00E360C2" w:rsidRDefault="00E360C2"/>
          <w:p w:rsidR="00E360C2" w:rsidRDefault="00122F00">
            <w:r>
              <w:t>1.</w:t>
            </w:r>
          </w:p>
          <w:p w:rsidR="00122F00" w:rsidRDefault="00122F00"/>
          <w:p w:rsidR="00122F00" w:rsidRDefault="00122F00"/>
          <w:p w:rsidR="00122F00" w:rsidRDefault="00122F00"/>
          <w:p w:rsidR="00122F00" w:rsidRDefault="00122F00">
            <w:r>
              <w:t>2.</w:t>
            </w:r>
          </w:p>
          <w:p w:rsidR="00122F00" w:rsidRDefault="00122F00"/>
          <w:p w:rsidR="00122F00" w:rsidRDefault="00122F00"/>
          <w:p w:rsidR="00122F00" w:rsidRDefault="00122F00">
            <w:r>
              <w:t>3.</w:t>
            </w:r>
          </w:p>
          <w:p w:rsidR="00122F00" w:rsidRDefault="00122F00"/>
          <w:p w:rsidR="00122F00" w:rsidRDefault="00122F00"/>
          <w:p w:rsidR="00122F00" w:rsidRDefault="00122F00">
            <w:r>
              <w:t>4.</w:t>
            </w:r>
          </w:p>
          <w:p w:rsidR="00122F00" w:rsidRDefault="00122F00"/>
          <w:p w:rsidR="00122F00" w:rsidRDefault="00122F00"/>
          <w:p w:rsidR="00122F00" w:rsidRDefault="00122F00">
            <w:r>
              <w:t>5.</w:t>
            </w:r>
          </w:p>
          <w:p w:rsidR="00E360C2" w:rsidRDefault="00E360C2"/>
          <w:p w:rsidR="00E360C2" w:rsidRDefault="00E360C2"/>
        </w:tc>
        <w:tc>
          <w:tcPr>
            <w:tcW w:w="2407" w:type="dxa"/>
          </w:tcPr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</w:tc>
      </w:tr>
      <w:tr w:rsidR="00E360C2" w:rsidTr="00E360C2">
        <w:tc>
          <w:tcPr>
            <w:tcW w:w="2407" w:type="dxa"/>
          </w:tcPr>
          <w:p w:rsidR="00E360C2" w:rsidRDefault="00E360C2" w:rsidP="00E360C2">
            <w:r>
              <w:t>Froido ir Jungo psichoanalizė</w:t>
            </w:r>
          </w:p>
          <w:p w:rsidR="00E360C2" w:rsidRDefault="00E360C2" w:rsidP="00E360C2"/>
          <w:p w:rsidR="00E360C2" w:rsidRDefault="00E360C2">
            <w:r>
              <w:t>Pagrindiniai bruožai</w:t>
            </w:r>
            <w:r w:rsidR="00B71B23">
              <w:t>,</w:t>
            </w:r>
          </w:p>
          <w:p w:rsidR="00FD6CA2" w:rsidRDefault="00FD6CA2"/>
          <w:p w:rsidR="00FD6CA2" w:rsidRDefault="00B71B23">
            <w:proofErr w:type="spellStart"/>
            <w:r>
              <w:t>e</w:t>
            </w:r>
            <w:r w:rsidR="00FD6CA2">
              <w:t>go</w:t>
            </w:r>
            <w:proofErr w:type="spellEnd"/>
            <w:r w:rsidR="00FD6CA2">
              <w:t xml:space="preserve">, </w:t>
            </w:r>
            <w:proofErr w:type="spellStart"/>
            <w:r w:rsidR="00FD6CA2">
              <w:t>id</w:t>
            </w:r>
            <w:proofErr w:type="spellEnd"/>
            <w:r w:rsidR="00FD6CA2">
              <w:t xml:space="preserve"> </w:t>
            </w:r>
            <w:r w:rsidR="00122F00">
              <w:t xml:space="preserve"> </w:t>
            </w:r>
            <w:proofErr w:type="spellStart"/>
            <w:r w:rsidR="00FD6CA2">
              <w:t>superego</w:t>
            </w:r>
            <w:proofErr w:type="spellEnd"/>
            <w:r w:rsidR="00122F00">
              <w:t xml:space="preserve">  reikšmė</w:t>
            </w:r>
            <w:r>
              <w:t>.</w:t>
            </w:r>
          </w:p>
        </w:tc>
        <w:tc>
          <w:tcPr>
            <w:tcW w:w="2407" w:type="dxa"/>
          </w:tcPr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</w:tc>
        <w:tc>
          <w:tcPr>
            <w:tcW w:w="2407" w:type="dxa"/>
          </w:tcPr>
          <w:p w:rsidR="00E360C2" w:rsidRDefault="00122F00">
            <w:r>
              <w:t>1.</w:t>
            </w:r>
          </w:p>
          <w:p w:rsidR="00122F00" w:rsidRDefault="00122F00"/>
          <w:p w:rsidR="00122F00" w:rsidRDefault="00122F00"/>
          <w:p w:rsidR="00122F00" w:rsidRDefault="00122F00">
            <w:r>
              <w:t>2.</w:t>
            </w:r>
          </w:p>
          <w:p w:rsidR="00122F00" w:rsidRDefault="00122F00"/>
          <w:p w:rsidR="00122F00" w:rsidRDefault="00122F00"/>
          <w:p w:rsidR="00122F00" w:rsidRDefault="00122F00"/>
          <w:p w:rsidR="00122F00" w:rsidRDefault="00122F00">
            <w:r>
              <w:t>3.</w:t>
            </w:r>
          </w:p>
          <w:p w:rsidR="00122F00" w:rsidRDefault="00122F00"/>
          <w:p w:rsidR="00122F00" w:rsidRDefault="00122F00"/>
          <w:p w:rsidR="00122F00" w:rsidRDefault="00122F00">
            <w:r>
              <w:t>4</w:t>
            </w:r>
          </w:p>
        </w:tc>
        <w:tc>
          <w:tcPr>
            <w:tcW w:w="2407" w:type="dxa"/>
          </w:tcPr>
          <w:p w:rsidR="00E360C2" w:rsidRDefault="00E360C2"/>
        </w:tc>
      </w:tr>
      <w:tr w:rsidR="00E360C2" w:rsidTr="00122F00">
        <w:trPr>
          <w:trHeight w:val="4298"/>
        </w:trPr>
        <w:tc>
          <w:tcPr>
            <w:tcW w:w="2407" w:type="dxa"/>
          </w:tcPr>
          <w:p w:rsidR="00E360C2" w:rsidRDefault="00E360C2">
            <w:r>
              <w:t>Psichoanalitinės įžvalgos romane.</w:t>
            </w:r>
          </w:p>
          <w:p w:rsidR="00E360C2" w:rsidRDefault="00E360C2"/>
          <w:p w:rsidR="00122F00" w:rsidRDefault="00FD6CA2">
            <w:proofErr w:type="spellStart"/>
            <w:r>
              <w:t>Ego</w:t>
            </w:r>
            <w:proofErr w:type="spellEnd"/>
            <w:r>
              <w:t xml:space="preserve">, </w:t>
            </w:r>
            <w:proofErr w:type="spellStart"/>
            <w:r>
              <w:t>id</w:t>
            </w:r>
            <w:proofErr w:type="spellEnd"/>
            <w:r w:rsidR="00122F00">
              <w:t>,</w:t>
            </w:r>
            <w:r>
              <w:t xml:space="preserve"> </w:t>
            </w:r>
            <w:proofErr w:type="spellStart"/>
            <w:r>
              <w:t>super</w:t>
            </w:r>
            <w:proofErr w:type="spellEnd"/>
            <w:r>
              <w:t xml:space="preserve"> </w:t>
            </w:r>
            <w:proofErr w:type="spellStart"/>
            <w:r>
              <w:t>ego</w:t>
            </w:r>
            <w:proofErr w:type="spellEnd"/>
            <w:r>
              <w:t xml:space="preserve"> pasireiškimo būdai</w:t>
            </w:r>
            <w:r w:rsidR="00B71B23">
              <w:t>.</w:t>
            </w:r>
          </w:p>
          <w:p w:rsidR="00E360C2" w:rsidRDefault="00E360C2"/>
        </w:tc>
        <w:tc>
          <w:tcPr>
            <w:tcW w:w="2407" w:type="dxa"/>
          </w:tcPr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  <w:p w:rsidR="00E360C2" w:rsidRDefault="00E360C2"/>
        </w:tc>
        <w:tc>
          <w:tcPr>
            <w:tcW w:w="2407" w:type="dxa"/>
          </w:tcPr>
          <w:p w:rsidR="00E360C2" w:rsidRDefault="00122F00">
            <w:r>
              <w:t>1.</w:t>
            </w:r>
          </w:p>
          <w:p w:rsidR="00122F00" w:rsidRDefault="00122F00"/>
          <w:p w:rsidR="00122F00" w:rsidRDefault="00122F00">
            <w:r>
              <w:t>2.</w:t>
            </w:r>
          </w:p>
          <w:p w:rsidR="00122F00" w:rsidRDefault="00122F00"/>
          <w:p w:rsidR="00122F00" w:rsidRDefault="00122F00"/>
          <w:p w:rsidR="00122F00" w:rsidRDefault="00122F00">
            <w:r>
              <w:t>3.</w:t>
            </w:r>
          </w:p>
          <w:p w:rsidR="00122F00" w:rsidRDefault="00122F00"/>
          <w:p w:rsidR="00122F00" w:rsidRDefault="00122F00"/>
          <w:p w:rsidR="00122F00" w:rsidRDefault="00122F00"/>
          <w:p w:rsidR="00122F00" w:rsidRDefault="00122F00">
            <w:r>
              <w:t>4.</w:t>
            </w:r>
          </w:p>
          <w:p w:rsidR="00122F00" w:rsidRDefault="00122F00"/>
          <w:p w:rsidR="00122F00" w:rsidRDefault="00122F00"/>
          <w:p w:rsidR="00122F00" w:rsidRPr="00122F00" w:rsidRDefault="00122F00" w:rsidP="00122F00">
            <w:r>
              <w:t>5.</w:t>
            </w:r>
          </w:p>
        </w:tc>
        <w:tc>
          <w:tcPr>
            <w:tcW w:w="2407" w:type="dxa"/>
          </w:tcPr>
          <w:p w:rsidR="00E360C2" w:rsidRDefault="00E360C2"/>
        </w:tc>
      </w:tr>
    </w:tbl>
    <w:p w:rsidR="00E360C2" w:rsidRPr="00E360C2" w:rsidRDefault="00E360C2" w:rsidP="00E360C2">
      <w:r>
        <w:t xml:space="preserve">Adresas, kur rasti paskaitos įrašą: </w:t>
      </w:r>
      <w:hyperlink r:id="rId6" w:history="1">
        <w:r w:rsidRPr="000A2B86">
          <w:rPr>
            <w:rStyle w:val="Hyperlink"/>
          </w:rPr>
          <w:t>https://www.youtube.com/watch?v=JnncJl8xyTw</w:t>
        </w:r>
      </w:hyperlink>
      <w:r>
        <w:t xml:space="preserve"> </w:t>
      </w:r>
    </w:p>
    <w:p w:rsidR="00E360C2" w:rsidRDefault="00122F00">
      <w:r>
        <w:t>Kaip vertinu tokią romano interpretaciją? Kodėl?________________________________________________________________________________________________________________________________________________________________________________________________________________________________________________________________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E360C2" w:rsidSect="00122F00">
      <w:headerReference w:type="default" r:id="rId7"/>
      <w:pgSz w:w="11906" w:h="16838"/>
      <w:pgMar w:top="426" w:right="567" w:bottom="567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401C" w:rsidRDefault="0086401C" w:rsidP="00E360C2">
      <w:pPr>
        <w:spacing w:after="0" w:line="240" w:lineRule="auto"/>
      </w:pPr>
      <w:r>
        <w:separator/>
      </w:r>
    </w:p>
  </w:endnote>
  <w:endnote w:type="continuationSeparator" w:id="0">
    <w:p w:rsidR="0086401C" w:rsidRDefault="0086401C" w:rsidP="00E360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401C" w:rsidRDefault="0086401C" w:rsidP="00E360C2">
      <w:pPr>
        <w:spacing w:after="0" w:line="240" w:lineRule="auto"/>
      </w:pPr>
      <w:r>
        <w:separator/>
      </w:r>
    </w:p>
  </w:footnote>
  <w:footnote w:type="continuationSeparator" w:id="0">
    <w:p w:rsidR="0086401C" w:rsidRDefault="0086401C" w:rsidP="00E360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60C2" w:rsidRPr="00E360C2" w:rsidRDefault="00E360C2" w:rsidP="00E360C2">
    <w:pPr>
      <w:rPr>
        <w:sz w:val="28"/>
        <w:szCs w:val="28"/>
      </w:rPr>
    </w:pPr>
    <w:proofErr w:type="spellStart"/>
    <w:r w:rsidRPr="00E360C2">
      <w:rPr>
        <w:rFonts w:ascii="Arial" w:eastAsia="Times New Roman" w:hAnsi="Arial" w:cs="Arial"/>
        <w:color w:val="222222"/>
        <w:kern w:val="36"/>
        <w:sz w:val="28"/>
        <w:szCs w:val="28"/>
        <w:bdr w:val="none" w:sz="0" w:space="0" w:color="auto" w:frame="1"/>
        <w:lang w:eastAsia="lt-LT"/>
      </w:rPr>
      <w:t>Lekt</w:t>
    </w:r>
    <w:proofErr w:type="spellEnd"/>
    <w:r w:rsidRPr="00E360C2">
      <w:rPr>
        <w:rFonts w:ascii="Arial" w:eastAsia="Times New Roman" w:hAnsi="Arial" w:cs="Arial"/>
        <w:color w:val="222222"/>
        <w:kern w:val="36"/>
        <w:sz w:val="28"/>
        <w:szCs w:val="28"/>
        <w:bdr w:val="none" w:sz="0" w:space="0" w:color="auto" w:frame="1"/>
        <w:lang w:eastAsia="lt-LT"/>
      </w:rPr>
      <w:t xml:space="preserve">. </w:t>
    </w:r>
    <w:proofErr w:type="spellStart"/>
    <w:r w:rsidRPr="00E360C2">
      <w:rPr>
        <w:rFonts w:ascii="Arial" w:eastAsia="Times New Roman" w:hAnsi="Arial" w:cs="Arial"/>
        <w:color w:val="222222"/>
        <w:kern w:val="36"/>
        <w:sz w:val="28"/>
        <w:szCs w:val="28"/>
        <w:bdr w:val="none" w:sz="0" w:space="0" w:color="auto" w:frame="1"/>
        <w:lang w:eastAsia="lt-LT"/>
      </w:rPr>
      <w:t>M.Grigaitis</w:t>
    </w:r>
    <w:proofErr w:type="spellEnd"/>
    <w:r w:rsidRPr="00E360C2">
      <w:rPr>
        <w:rFonts w:ascii="Arial" w:eastAsia="Times New Roman" w:hAnsi="Arial" w:cs="Arial"/>
        <w:color w:val="222222"/>
        <w:kern w:val="36"/>
        <w:sz w:val="28"/>
        <w:szCs w:val="28"/>
        <w:bdr w:val="none" w:sz="0" w:space="0" w:color="auto" w:frame="1"/>
        <w:lang w:eastAsia="lt-LT"/>
      </w:rPr>
      <w:t xml:space="preserve"> - Psichoanalitinis žvilgsnis į Vinco Mykolaičio–Putino romaną „Altorių šešėly“</w:t>
    </w:r>
  </w:p>
  <w:p w:rsidR="00E360C2" w:rsidRDefault="00E360C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0C2"/>
    <w:rsid w:val="00122F00"/>
    <w:rsid w:val="00410FF6"/>
    <w:rsid w:val="0086401C"/>
    <w:rsid w:val="00960B21"/>
    <w:rsid w:val="00B71B23"/>
    <w:rsid w:val="00E360C2"/>
    <w:rsid w:val="00E37504"/>
    <w:rsid w:val="00FD6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6FBC8A-A585-44FB-A10E-74D190633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360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60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360C2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360C2"/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character" w:customStyle="1" w:styleId="watch-title">
    <w:name w:val="watch-title"/>
    <w:basedOn w:val="DefaultParagraphFont"/>
    <w:rsid w:val="00E360C2"/>
  </w:style>
  <w:style w:type="paragraph" w:styleId="Header">
    <w:name w:val="header"/>
    <w:basedOn w:val="Normal"/>
    <w:link w:val="HeaderChar"/>
    <w:uiPriority w:val="99"/>
    <w:unhideWhenUsed/>
    <w:rsid w:val="00E360C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60C2"/>
  </w:style>
  <w:style w:type="paragraph" w:styleId="Footer">
    <w:name w:val="footer"/>
    <w:basedOn w:val="Normal"/>
    <w:link w:val="FooterChar"/>
    <w:uiPriority w:val="99"/>
    <w:unhideWhenUsed/>
    <w:rsid w:val="00E360C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60C2"/>
  </w:style>
  <w:style w:type="paragraph" w:styleId="BalloonText">
    <w:name w:val="Balloon Text"/>
    <w:basedOn w:val="Normal"/>
    <w:link w:val="BalloonTextChar"/>
    <w:uiPriority w:val="99"/>
    <w:semiHidden/>
    <w:unhideWhenUsed/>
    <w:rsid w:val="00B71B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1B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137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JnncJl8xyTw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603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Ieva</dc:creator>
  <cp:keywords/>
  <dc:description/>
  <cp:lastModifiedBy>Ieva</cp:lastModifiedBy>
  <cp:revision>2</cp:revision>
  <cp:lastPrinted>2016-04-20T03:06:00Z</cp:lastPrinted>
  <dcterms:created xsi:type="dcterms:W3CDTF">2016-04-19T19:11:00Z</dcterms:created>
  <dcterms:modified xsi:type="dcterms:W3CDTF">2016-04-20T03:18:00Z</dcterms:modified>
</cp:coreProperties>
</file>