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FE5" w:rsidRPr="00472FE5" w:rsidRDefault="00472FE5" w:rsidP="00472FE5">
      <w:pPr>
        <w:shd w:val="clear" w:color="auto" w:fill="FFFFFF"/>
        <w:spacing w:after="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SKAUSMAS IR KANČIA ARBA GRAUDUS VAIKYSTĖS NUOTYKIS J. BILIŪNO APSAKYME „KLIUDŽIAU“</w:t>
      </w:r>
    </w:p>
    <w:p w:rsidR="00472FE5" w:rsidRPr="00472FE5" w:rsidRDefault="00472FE5" w:rsidP="00472FE5">
      <w:pPr>
        <w:shd w:val="clear" w:color="auto" w:fill="FFFFFF"/>
        <w:spacing w:after="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u w:val="single"/>
          <w:lang w:eastAsia="lt-LT"/>
        </w:rPr>
        <w:t>APSÃKYMAS </w:t>
      </w:r>
      <w:r w:rsidRPr="00472FE5">
        <w:rPr>
          <w:rFonts w:ascii="Helvetica" w:eastAsia="Times New Roman" w:hAnsi="Helvetica" w:cs="Helvetica"/>
          <w:b/>
          <w:bCs/>
          <w:color w:val="555555"/>
          <w:sz w:val="20"/>
          <w:lang w:eastAsia="lt-LT"/>
        </w:rPr>
        <w:t>(1) – </w:t>
      </w:r>
      <w:r w:rsidRPr="00472FE5">
        <w:rPr>
          <w:rFonts w:ascii="Helvetica" w:eastAsia="Times New Roman" w:hAnsi="Helvetica" w:cs="Helvetica"/>
          <w:color w:val="555555"/>
          <w:sz w:val="20"/>
          <w:szCs w:val="20"/>
          <w:lang w:eastAsia="lt-LT"/>
        </w:rPr>
        <w:t>trumpo grožinės prozos kūrinio žanras; to žanro kūrinys. Dažniausiai vaizduojamas vienas gyvenimo įvykis.</w:t>
      </w:r>
    </w:p>
    <w:p w:rsidR="00472FE5" w:rsidRPr="00472FE5" w:rsidRDefault="00472FE5" w:rsidP="00472FE5">
      <w:pPr>
        <w:shd w:val="clear" w:color="auto" w:fill="FFFFFF"/>
        <w:spacing w:after="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EPINIO IR LYRINIO APSAKYMO PALYGINIMAS (reziumė)</w:t>
      </w:r>
    </w:p>
    <w:tbl>
      <w:tblPr>
        <w:tblW w:w="0" w:type="auto"/>
        <w:tblCellSpacing w:w="0" w:type="dxa"/>
        <w:tblBorders>
          <w:top w:val="outset" w:sz="6" w:space="0" w:color="auto"/>
          <w:left w:val="single" w:sz="6" w:space="0" w:color="D9D9D9"/>
          <w:bottom w:val="single" w:sz="18" w:space="0" w:color="D9D9D9"/>
          <w:right w:val="outset" w:sz="6" w:space="0" w:color="auto"/>
        </w:tblBorders>
        <w:shd w:val="clear" w:color="auto" w:fill="FFFFFF"/>
        <w:tblCellMar>
          <w:left w:w="0" w:type="dxa"/>
          <w:right w:w="0" w:type="dxa"/>
        </w:tblCellMar>
        <w:tblLook w:val="04A0"/>
      </w:tblPr>
      <w:tblGrid>
        <w:gridCol w:w="1930"/>
        <w:gridCol w:w="2931"/>
        <w:gridCol w:w="1980"/>
        <w:gridCol w:w="3019"/>
      </w:tblGrid>
      <w:tr w:rsidR="00472FE5" w:rsidRPr="00472FE5" w:rsidTr="00472FE5">
        <w:trPr>
          <w:tblCellSpacing w:w="0" w:type="dxa"/>
        </w:trPr>
        <w:tc>
          <w:tcPr>
            <w:tcW w:w="5865" w:type="dxa"/>
            <w:gridSpan w:val="2"/>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EPINIS (SANTŪRIAI RAMUS) APSAKYMAS</w:t>
            </w:r>
          </w:p>
        </w:tc>
        <w:tc>
          <w:tcPr>
            <w:tcW w:w="5865" w:type="dxa"/>
            <w:gridSpan w:val="2"/>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LYRINIS (PABRĖŽTINAI EMOCINGAS) APSAKYMAS</w:t>
            </w:r>
          </w:p>
        </w:tc>
      </w:tr>
      <w:tr w:rsidR="00472FE5" w:rsidRPr="00472FE5" w:rsidTr="00472FE5">
        <w:trPr>
          <w:tblCellSpacing w:w="0" w:type="dxa"/>
        </w:trPr>
        <w:tc>
          <w:tcPr>
            <w:tcW w:w="5865" w:type="dxa"/>
            <w:gridSpan w:val="2"/>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ŽEMAITĖ. </w:t>
            </w:r>
            <w:r w:rsidRPr="00472FE5">
              <w:rPr>
                <w:rFonts w:ascii="Helvetica" w:eastAsia="Times New Roman" w:hAnsi="Helvetica" w:cs="Helvetica"/>
                <w:color w:val="555555"/>
                <w:sz w:val="18"/>
                <w:szCs w:val="18"/>
                <w:lang w:eastAsia="lt-LT"/>
              </w:rPr>
              <w:t>„Marti“, „Petras Kurmelis“</w:t>
            </w:r>
          </w:p>
        </w:tc>
        <w:tc>
          <w:tcPr>
            <w:tcW w:w="5865" w:type="dxa"/>
            <w:gridSpan w:val="2"/>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JONAS BILIŪNAS.</w:t>
            </w:r>
            <w:r w:rsidRPr="00472FE5">
              <w:rPr>
                <w:rFonts w:ascii="Helvetica" w:eastAsia="Times New Roman" w:hAnsi="Helvetica" w:cs="Helvetica"/>
                <w:color w:val="555555"/>
                <w:sz w:val="18"/>
                <w:lang w:eastAsia="lt-LT"/>
              </w:rPr>
              <w:t> </w:t>
            </w:r>
            <w:r w:rsidRPr="00472FE5">
              <w:rPr>
                <w:rFonts w:ascii="Helvetica" w:eastAsia="Times New Roman" w:hAnsi="Helvetica" w:cs="Helvetica"/>
                <w:color w:val="555555"/>
                <w:sz w:val="18"/>
                <w:szCs w:val="18"/>
                <w:lang w:eastAsia="lt-LT"/>
              </w:rPr>
              <w:t>„Lazda“, „Ubagas“, „Žvaigždė“, „</w:t>
            </w:r>
            <w:proofErr w:type="spellStart"/>
            <w:r w:rsidRPr="00472FE5">
              <w:rPr>
                <w:rFonts w:ascii="Helvetica" w:eastAsia="Times New Roman" w:hAnsi="Helvetica" w:cs="Helvetica"/>
                <w:color w:val="555555"/>
                <w:sz w:val="18"/>
                <w:szCs w:val="18"/>
                <w:lang w:eastAsia="lt-LT"/>
              </w:rPr>
              <w:t>Brisiaus</w:t>
            </w:r>
            <w:proofErr w:type="spellEnd"/>
            <w:r w:rsidRPr="00472FE5">
              <w:rPr>
                <w:rFonts w:ascii="Helvetica" w:eastAsia="Times New Roman" w:hAnsi="Helvetica" w:cs="Helvetica"/>
                <w:color w:val="555555"/>
                <w:sz w:val="18"/>
                <w:szCs w:val="18"/>
                <w:lang w:eastAsia="lt-LT"/>
              </w:rPr>
              <w:t xml:space="preserve"> galas“, „Nemunu“, „Kliudžiau“, „Vagis“, „Keliu“</w:t>
            </w:r>
          </w:p>
        </w:tc>
      </w:tr>
      <w:tr w:rsidR="00472FE5" w:rsidRPr="00472FE5" w:rsidTr="00472FE5">
        <w:trPr>
          <w:tblCellSpacing w:w="0" w:type="dxa"/>
        </w:trPr>
        <w:tc>
          <w:tcPr>
            <w:tcW w:w="226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Svarbiausi apsakymo elementai</w:t>
            </w:r>
          </w:p>
        </w:tc>
        <w:tc>
          <w:tcPr>
            <w:tcW w:w="360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Elementų epiškumas</w:t>
            </w:r>
          </w:p>
        </w:tc>
        <w:tc>
          <w:tcPr>
            <w:tcW w:w="234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Svarbiausi apsakymo elementai</w:t>
            </w:r>
          </w:p>
        </w:tc>
        <w:tc>
          <w:tcPr>
            <w:tcW w:w="352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Elementų lyriškumas</w:t>
            </w:r>
          </w:p>
        </w:tc>
      </w:tr>
      <w:tr w:rsidR="00472FE5" w:rsidRPr="00472FE5" w:rsidTr="00472FE5">
        <w:trPr>
          <w:tblCellSpacing w:w="0" w:type="dxa"/>
        </w:trPr>
        <w:tc>
          <w:tcPr>
            <w:tcW w:w="226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p>
        </w:tc>
        <w:tc>
          <w:tcPr>
            <w:tcW w:w="360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p>
        </w:tc>
        <w:tc>
          <w:tcPr>
            <w:tcW w:w="234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p>
        </w:tc>
        <w:tc>
          <w:tcPr>
            <w:tcW w:w="352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p>
        </w:tc>
      </w:tr>
      <w:tr w:rsidR="00472FE5" w:rsidRPr="00472FE5" w:rsidTr="00472FE5">
        <w:trPr>
          <w:tblCellSpacing w:w="0" w:type="dxa"/>
        </w:trPr>
        <w:tc>
          <w:tcPr>
            <w:tcW w:w="226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1. Pasakojimo būdas</w:t>
            </w:r>
            <w:r w:rsidRPr="00472FE5">
              <w:rPr>
                <w:rFonts w:ascii="Helvetica" w:eastAsia="Times New Roman" w:hAnsi="Helvetica" w:cs="Helvetica"/>
                <w:color w:val="555555"/>
                <w:sz w:val="18"/>
                <w:szCs w:val="18"/>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tc>
        <w:tc>
          <w:tcPr>
            <w:tcW w:w="360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t>Pasakojime vyrauja įvykis, išorinis konfliktas, platūs veiksmo aplinkos ir gamtos aprašymai. Jie sudaro apsakymo meninio pasaulio pamatą. </w:t>
            </w:r>
          </w:p>
        </w:tc>
        <w:tc>
          <w:tcPr>
            <w:tcW w:w="234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1. Pasakojimo būdas</w:t>
            </w:r>
            <w:r w:rsidRPr="00472FE5">
              <w:rPr>
                <w:rFonts w:ascii="Helvetica" w:eastAsia="Times New Roman" w:hAnsi="Helvetica" w:cs="Helvetica"/>
                <w:color w:val="555555"/>
                <w:sz w:val="18"/>
                <w:szCs w:val="18"/>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tc>
        <w:tc>
          <w:tcPr>
            <w:tcW w:w="352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t xml:space="preserve">Pasakojime vyrauja ne įvykis, ne išorinis konfliktas, ne tikrovės vaizdas, o veikėjo mintys ir išgyvenimai, jų raida. Išgyvenimų tėkmė – siužeto </w:t>
            </w:r>
            <w:proofErr w:type="spellStart"/>
            <w:r w:rsidRPr="00472FE5">
              <w:rPr>
                <w:rFonts w:ascii="Helvetica" w:eastAsia="Times New Roman" w:hAnsi="Helvetica" w:cs="Helvetica"/>
                <w:color w:val="555555"/>
                <w:sz w:val="18"/>
                <w:szCs w:val="18"/>
                <w:lang w:eastAsia="lt-LT"/>
              </w:rPr>
              <w:t>pamatas.Pasakojama</w:t>
            </w:r>
            <w:proofErr w:type="spellEnd"/>
            <w:r w:rsidRPr="00472FE5">
              <w:rPr>
                <w:rFonts w:ascii="Helvetica" w:eastAsia="Times New Roman" w:hAnsi="Helvetica" w:cs="Helvetica"/>
                <w:color w:val="555555"/>
                <w:sz w:val="18"/>
                <w:szCs w:val="18"/>
                <w:lang w:eastAsia="lt-LT"/>
              </w:rPr>
              <w:t xml:space="preserve"> dažniausiai pirmuoju asmeniu. Pasakotojas tiesiogiai </w:t>
            </w:r>
            <w:proofErr w:type="spellStart"/>
            <w:r w:rsidRPr="00472FE5">
              <w:rPr>
                <w:rFonts w:ascii="Helvetica" w:eastAsia="Times New Roman" w:hAnsi="Helvetica" w:cs="Helvetica"/>
                <w:color w:val="555555"/>
                <w:sz w:val="18"/>
                <w:szCs w:val="18"/>
                <w:lang w:eastAsia="lt-LT"/>
              </w:rPr>
              <w:t>emociškai</w:t>
            </w:r>
            <w:proofErr w:type="spellEnd"/>
            <w:r w:rsidRPr="00472FE5">
              <w:rPr>
                <w:rFonts w:ascii="Helvetica" w:eastAsia="Times New Roman" w:hAnsi="Helvetica" w:cs="Helvetica"/>
                <w:color w:val="555555"/>
                <w:sz w:val="18"/>
                <w:szCs w:val="18"/>
                <w:lang w:eastAsia="lt-LT"/>
              </w:rPr>
              <w:t xml:space="preserve"> vertina vaizduojamus dalykus. Pasakojimo tonas emocingas. Didelę reikšmę turi pasakojimo ritmas.</w:t>
            </w:r>
          </w:p>
        </w:tc>
      </w:tr>
      <w:tr w:rsidR="00472FE5" w:rsidRPr="00472FE5" w:rsidTr="00472FE5">
        <w:trPr>
          <w:tblCellSpacing w:w="0" w:type="dxa"/>
        </w:trPr>
        <w:tc>
          <w:tcPr>
            <w:tcW w:w="226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2. Veikėjai</w:t>
            </w:r>
            <w:r w:rsidRPr="00472FE5">
              <w:rPr>
                <w:rFonts w:ascii="Helvetica" w:eastAsia="Times New Roman" w:hAnsi="Helvetica" w:cs="Helvetica"/>
                <w:color w:val="555555"/>
                <w:sz w:val="18"/>
                <w:szCs w:val="18"/>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lastRenderedPageBreak/>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tc>
        <w:tc>
          <w:tcPr>
            <w:tcW w:w="360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lastRenderedPageBreak/>
              <w:t>Veikėjų daug, jie įvairūs, skirtingai mato ir vertina tikrovę. Atskleidžiamas jų likimas, santykiai, temperamentas, smulkiai apibūdinama išorė, gyvenamoji aplinka. Leidžiama jiems daug veikti. </w:t>
            </w:r>
          </w:p>
        </w:tc>
        <w:tc>
          <w:tcPr>
            <w:tcW w:w="234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2. Veikėjai </w:t>
            </w:r>
            <w:r w:rsidRPr="00472FE5">
              <w:rPr>
                <w:rFonts w:ascii="Helvetica" w:eastAsia="Times New Roman" w:hAnsi="Helvetica" w:cs="Helvetica"/>
                <w:color w:val="555555"/>
                <w:sz w:val="18"/>
                <w:szCs w:val="18"/>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lastRenderedPageBreak/>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tc>
        <w:tc>
          <w:tcPr>
            <w:tcW w:w="352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lastRenderedPageBreak/>
              <w:t>Pagrindinis dėmesys dažniausiai kreipiamas į vieno veikėjo vidinį pasaulį. Veikėjo išorė, aplinka, veiksmai vaizduojami tiek, kiek jų reikia vidiniam jo pasauliui suvokti. Svarbų vaidmenį atlieka pasakotojas. Dažnai jis būna pagrindinis veikėjas.</w:t>
            </w:r>
          </w:p>
        </w:tc>
      </w:tr>
      <w:tr w:rsidR="00472FE5" w:rsidRPr="00472FE5" w:rsidTr="00472FE5">
        <w:trPr>
          <w:tblCellSpacing w:w="0" w:type="dxa"/>
        </w:trPr>
        <w:tc>
          <w:tcPr>
            <w:tcW w:w="226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lastRenderedPageBreak/>
              <w:t>3. Meninė erdvė ir laikas</w:t>
            </w:r>
          </w:p>
        </w:tc>
        <w:tc>
          <w:tcPr>
            <w:tcW w:w="360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t>Žmonės ir daiktai komponuojami konkrečioje, daiktiškoje erdvėje. Vaizduojamas ilgas laiko tarpas. Įvykiai dėstomi chronologiškai.</w:t>
            </w:r>
          </w:p>
        </w:tc>
        <w:tc>
          <w:tcPr>
            <w:tcW w:w="2340"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b/>
                <w:bCs/>
                <w:color w:val="555555"/>
                <w:sz w:val="18"/>
                <w:lang w:eastAsia="lt-LT"/>
              </w:rPr>
              <w:t>3. Meninė erdvė ir laikas</w:t>
            </w:r>
          </w:p>
        </w:tc>
        <w:tc>
          <w:tcPr>
            <w:tcW w:w="3525" w:type="dxa"/>
            <w:tcBorders>
              <w:top w:val="single" w:sz="6" w:space="0" w:color="D9D9D9"/>
              <w:left w:val="outset" w:sz="6" w:space="0" w:color="auto"/>
              <w:bottom w:val="outset" w:sz="6" w:space="0" w:color="auto"/>
              <w:right w:val="single" w:sz="6" w:space="0" w:color="D9D9D9"/>
            </w:tcBorders>
            <w:shd w:val="clear" w:color="auto" w:fill="FFFFFF"/>
            <w:tcMar>
              <w:top w:w="48" w:type="dxa"/>
              <w:left w:w="96" w:type="dxa"/>
              <w:bottom w:w="48" w:type="dxa"/>
              <w:right w:w="96" w:type="dxa"/>
            </w:tcMar>
            <w:hideMark/>
          </w:tcPr>
          <w:p w:rsidR="00472FE5" w:rsidRPr="00472FE5" w:rsidRDefault="00472FE5" w:rsidP="00472FE5">
            <w:pPr>
              <w:spacing w:after="0" w:line="240" w:lineRule="auto"/>
              <w:rPr>
                <w:rFonts w:ascii="Helvetica" w:eastAsia="Times New Roman" w:hAnsi="Helvetica" w:cs="Helvetica"/>
                <w:color w:val="555555"/>
                <w:sz w:val="18"/>
                <w:szCs w:val="18"/>
                <w:lang w:eastAsia="lt-LT"/>
              </w:rPr>
            </w:pPr>
            <w:r w:rsidRPr="00472FE5">
              <w:rPr>
                <w:rFonts w:ascii="Helvetica" w:eastAsia="Times New Roman" w:hAnsi="Helvetica" w:cs="Helvetica"/>
                <w:color w:val="555555"/>
                <w:sz w:val="18"/>
                <w:szCs w:val="18"/>
                <w:lang w:eastAsia="lt-LT"/>
              </w:rPr>
              <w:t xml:space="preserve">Meninė erdvė kuriama labai lakoniškai, vertinama </w:t>
            </w:r>
            <w:proofErr w:type="spellStart"/>
            <w:r w:rsidRPr="00472FE5">
              <w:rPr>
                <w:rFonts w:ascii="Helvetica" w:eastAsia="Times New Roman" w:hAnsi="Helvetica" w:cs="Helvetica"/>
                <w:color w:val="555555"/>
                <w:sz w:val="18"/>
                <w:szCs w:val="18"/>
                <w:lang w:eastAsia="lt-LT"/>
              </w:rPr>
              <w:t>emociškai</w:t>
            </w:r>
            <w:proofErr w:type="spellEnd"/>
            <w:r w:rsidRPr="00472FE5">
              <w:rPr>
                <w:rFonts w:ascii="Helvetica" w:eastAsia="Times New Roman" w:hAnsi="Helvetica" w:cs="Helvetica"/>
                <w:color w:val="555555"/>
                <w:sz w:val="18"/>
                <w:szCs w:val="18"/>
                <w:lang w:eastAsia="lt-LT"/>
              </w:rPr>
              <w:t>. Nėra plataus aplinkos aprašinėjimo. Veiksmo laikas trumpas, o prisiminimų laikas platus.</w:t>
            </w:r>
          </w:p>
        </w:tc>
      </w:tr>
    </w:tbl>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Lyriniam apsakymui, susiformavusiam XX a. pradžioje, būdingas</w:t>
      </w:r>
      <w:r w:rsidRPr="00472FE5">
        <w:rPr>
          <w:rFonts w:ascii="Helvetica" w:eastAsia="Times New Roman" w:hAnsi="Helvetica" w:cs="Helvetica"/>
          <w:color w:val="555555"/>
          <w:sz w:val="20"/>
          <w:lang w:eastAsia="lt-LT"/>
        </w:rPr>
        <w:t> </w:t>
      </w:r>
      <w:r w:rsidRPr="00472FE5">
        <w:rPr>
          <w:rFonts w:ascii="Helvetica" w:eastAsia="Times New Roman" w:hAnsi="Helvetica" w:cs="Helvetica"/>
          <w:b/>
          <w:bCs/>
          <w:color w:val="555555"/>
          <w:sz w:val="20"/>
          <w:lang w:eastAsia="lt-LT"/>
        </w:rPr>
        <w:t>psichologizmas,</w:t>
      </w:r>
      <w:r w:rsidRPr="00472FE5">
        <w:rPr>
          <w:rFonts w:ascii="Helvetica" w:eastAsia="Times New Roman" w:hAnsi="Helvetica" w:cs="Helvetica"/>
          <w:color w:val="555555"/>
          <w:sz w:val="20"/>
          <w:lang w:eastAsia="lt-LT"/>
        </w:rPr>
        <w:t> </w:t>
      </w:r>
      <w:r w:rsidRPr="00472FE5">
        <w:rPr>
          <w:rFonts w:ascii="Helvetica" w:eastAsia="Times New Roman" w:hAnsi="Helvetica" w:cs="Helvetica"/>
          <w:color w:val="555555"/>
          <w:sz w:val="20"/>
          <w:szCs w:val="20"/>
          <w:lang w:eastAsia="lt-LT"/>
        </w:rPr>
        <w:t>todėl toks apsakymas kartais vadinamas</w:t>
      </w:r>
      <w:r w:rsidRPr="00472FE5">
        <w:rPr>
          <w:rFonts w:ascii="Helvetica" w:eastAsia="Times New Roman" w:hAnsi="Helvetica" w:cs="Helvetica"/>
          <w:color w:val="555555"/>
          <w:sz w:val="20"/>
          <w:lang w:eastAsia="lt-LT"/>
        </w:rPr>
        <w:t> </w:t>
      </w:r>
      <w:r w:rsidRPr="00472FE5">
        <w:rPr>
          <w:rFonts w:ascii="Helvetica" w:eastAsia="Times New Roman" w:hAnsi="Helvetica" w:cs="Helvetica"/>
          <w:b/>
          <w:bCs/>
          <w:color w:val="555555"/>
          <w:sz w:val="20"/>
          <w:lang w:eastAsia="lt-LT"/>
        </w:rPr>
        <w:t>lyriniu psichologiniu. </w:t>
      </w:r>
      <w:r w:rsidRPr="00472FE5">
        <w:rPr>
          <w:rFonts w:ascii="Helvetica" w:eastAsia="Times New Roman" w:hAnsi="Helvetica" w:cs="Helvetica"/>
          <w:color w:val="555555"/>
          <w:sz w:val="20"/>
          <w:szCs w:val="20"/>
          <w:lang w:eastAsia="lt-LT"/>
        </w:rPr>
        <w:t>Naujausi mokslo atradimai keitė požiūrį į žmogų ir pasaulį (žmogus dabar traktuojamas kaip pasaulio centras, literatūra daugiau dėmesio skiria subjektyviam fakto suvokimui, gyvenimo sudėtingumui, dvasinio žmogaus pasaulio problemoms). Kurti lyrinius apsakymus rašytoją skatino jo emocingumas, jautrumas, švelnumas, gebėjimas matyti ne vien akimis, bet ir širdimi.</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Analizuojant J. Biliūno kūrinius, aptariama:</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1. Pasakotojo paveikslas (detalės, nutylėjimai, nuotaika).</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2. Personažų išgyvenimai.</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3. Kūrinio nuotaika.</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4. Kūrinio leitmotyvai.</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5. Emociniai pasakojimo būdo, veikėjų, meninės erdvės ir laiko ryšiai, detalės.</w:t>
      </w:r>
    </w:p>
    <w:p w:rsidR="00472FE5" w:rsidRPr="00472FE5" w:rsidRDefault="00472FE5" w:rsidP="00472FE5">
      <w:pPr>
        <w:shd w:val="clear" w:color="auto" w:fill="FFFFFF"/>
        <w:spacing w:after="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Apsakymo „KLIUDŽIAU“ parašymo aplinkybės (genezė). </w:t>
      </w:r>
      <w:r w:rsidRPr="00472FE5">
        <w:rPr>
          <w:rFonts w:ascii="Helvetica" w:eastAsia="Times New Roman" w:hAnsi="Helvetica" w:cs="Helvetica"/>
          <w:color w:val="555555"/>
          <w:sz w:val="20"/>
          <w:szCs w:val="20"/>
          <w:lang w:eastAsia="lt-LT"/>
        </w:rPr>
        <w:t>J. Biliūno dukterėčia (rašytojo brolio Mykolo duktė) pasakojo, jog dar būdamas vaikas J. Biliūnas vieną kartą už daržinės, patvory, prie augančio šermukšnio nušovė katytę. Katytę užmušė ir atsisėdęs po šermukšniu verkė.</w:t>
      </w:r>
    </w:p>
    <w:p w:rsidR="00472FE5" w:rsidRPr="00472FE5" w:rsidRDefault="00472FE5" w:rsidP="00472FE5">
      <w:pPr>
        <w:shd w:val="clear" w:color="auto" w:fill="FFFFFF"/>
        <w:spacing w:after="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lang w:eastAsia="lt-LT"/>
        </w:rPr>
        <w:t>ORIENTACINIS PLANAS</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 Svarbiausias įvykis kūrinyje.</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2. Pasakojimo (dabar) ir fabulos (tada) laikas.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3. Pasakotojo vaidmuo.</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4. Katytės paveikslas (amžius, išvaizda, fizinė būsena, savijauta, akistata su mirtimi). Kaip kuriamas katytės paveikslas? Kas lėmė katytės dalią?</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lastRenderedPageBreak/>
        <w:t>5. Vizualus (tiesioginis, susijęs su tiriamojo objekto matymu) ir akustinis (girdimasis) vaizdai.</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6. Lyrinis pasakojimas.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xml:space="preserve">7. Kūrinio problema (dilema) (žmoniškumas ir </w:t>
      </w:r>
      <w:proofErr w:type="spellStart"/>
      <w:r w:rsidRPr="00472FE5">
        <w:rPr>
          <w:rFonts w:ascii="Helvetica" w:eastAsia="Times New Roman" w:hAnsi="Helvetica" w:cs="Helvetica"/>
          <w:color w:val="555555"/>
          <w:sz w:val="20"/>
          <w:szCs w:val="20"/>
          <w:lang w:eastAsia="lt-LT"/>
        </w:rPr>
        <w:t>nežmoniškumas</w:t>
      </w:r>
      <w:proofErr w:type="spellEnd"/>
      <w:r w:rsidRPr="00472FE5">
        <w:rPr>
          <w:rFonts w:ascii="Helvetica" w:eastAsia="Times New Roman" w:hAnsi="Helvetica" w:cs="Helvetica"/>
          <w:color w:val="555555"/>
          <w:sz w:val="20"/>
          <w:szCs w:val="20"/>
          <w:lang w:eastAsia="lt-LT"/>
        </w:rPr>
        <w:t>, nelaimingo ir laimingo supriešinimas). Kaip ir kas turi spręsti šią dilemą?</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8. Veikėjai (vaiko pasaulėjauta – poelgis, avantiūra, būsena, pasekmės, asmeninė patirtis).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9. Meninė erdvė (veiksmo vieta ir aplinkybės) ir laikas (praeitis (įvykis) ir dabartis (jaučiamas poveikis)).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10. Kūrinio konfliktas.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11. Kūrinio teksto struktūra, teksto potekstė, kūrinio pradžia ir pabaiga (aptarti ir palyginti).</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12. Novelės veiksmas ir kulminacija.</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13. Kaip ir kodėl gyvūnėlis apibūdinamas kaip žmogus? (sužmoginimas – žmogaus savybių (minčių, jausmų, valios) priskyrimas gamtos reiškiniams, gyvūnams, augalams)?</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14. Lemtingo šūvio prasmė (nušauta katytė ir vaiko sąžinė).</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15. Meninės kalbos priemonės (antitezė, mažybiniai žodžiai, metaforos, pakartojimai, epitetai).</w:t>
      </w:r>
    </w:p>
    <w:p w:rsidR="00472FE5" w:rsidRPr="00472FE5" w:rsidRDefault="00472FE5" w:rsidP="00472FE5">
      <w:pPr>
        <w:shd w:val="clear" w:color="auto" w:fill="FFFFFF"/>
        <w:spacing w:before="300" w:after="30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 xml:space="preserve">16. Kūrinio santykis su skaitytoju, skaitytojo požiūris ir vertinimas. Apsakymo išvada (rasti ir pacituoti), kuri pabrėžia žiaurų ir negailestingą žmonių pasaulį (žmonių </w:t>
      </w:r>
      <w:proofErr w:type="spellStart"/>
      <w:r w:rsidRPr="00472FE5">
        <w:rPr>
          <w:rFonts w:ascii="Helvetica" w:eastAsia="Times New Roman" w:hAnsi="Helvetica" w:cs="Helvetica"/>
          <w:color w:val="555555"/>
          <w:sz w:val="20"/>
          <w:szCs w:val="20"/>
          <w:lang w:eastAsia="lt-LT"/>
        </w:rPr>
        <w:t>kietaširdiškumas</w:t>
      </w:r>
      <w:proofErr w:type="spellEnd"/>
      <w:r w:rsidRPr="00472FE5">
        <w:rPr>
          <w:rFonts w:ascii="Helvetica" w:eastAsia="Times New Roman" w:hAnsi="Helvetica" w:cs="Helvetica"/>
          <w:color w:val="555555"/>
          <w:sz w:val="20"/>
          <w:szCs w:val="20"/>
          <w:lang w:eastAsia="lt-LT"/>
        </w:rPr>
        <w:t xml:space="preserve"> ir abejingumas).</w:t>
      </w:r>
    </w:p>
    <w:p w:rsidR="00472FE5" w:rsidRPr="00472FE5" w:rsidRDefault="00472FE5" w:rsidP="00472FE5">
      <w:pPr>
        <w:shd w:val="clear" w:color="auto" w:fill="FFFFFF"/>
        <w:spacing w:before="300" w:after="30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w:t>
      </w:r>
    </w:p>
    <w:p w:rsidR="00472FE5" w:rsidRPr="00472FE5" w:rsidRDefault="00472FE5" w:rsidP="00472FE5">
      <w:pPr>
        <w:shd w:val="clear" w:color="auto" w:fill="FFFFFF"/>
        <w:spacing w:after="0" w:line="360" w:lineRule="atLeast"/>
        <w:rPr>
          <w:rFonts w:ascii="Helvetica" w:eastAsia="Times New Roman" w:hAnsi="Helvetica" w:cs="Helvetica"/>
          <w:color w:val="555555"/>
          <w:sz w:val="20"/>
          <w:szCs w:val="20"/>
          <w:lang w:eastAsia="lt-LT"/>
        </w:rPr>
      </w:pPr>
      <w:r w:rsidRPr="00472FE5">
        <w:rPr>
          <w:rFonts w:ascii="Helvetica" w:eastAsia="Times New Roman" w:hAnsi="Helvetica" w:cs="Helvetica"/>
          <w:b/>
          <w:bCs/>
          <w:color w:val="555555"/>
          <w:sz w:val="20"/>
          <w:u w:val="single"/>
          <w:lang w:eastAsia="lt-LT"/>
        </w:rPr>
        <w:t>ŽODYNĖLIS</w:t>
      </w:r>
      <w:r w:rsidRPr="00472FE5">
        <w:rPr>
          <w:rFonts w:ascii="Helvetica" w:eastAsia="Times New Roman" w:hAnsi="Helvetica" w:cs="Helvetica"/>
          <w:b/>
          <w:bCs/>
          <w:color w:val="555555"/>
          <w:sz w:val="20"/>
          <w:lang w:eastAsia="lt-LT"/>
        </w:rPr>
        <w:t xml:space="preserve">. </w:t>
      </w:r>
      <w:proofErr w:type="spellStart"/>
      <w:r w:rsidRPr="00472FE5">
        <w:rPr>
          <w:rFonts w:ascii="Helvetica" w:eastAsia="Times New Roman" w:hAnsi="Helvetica" w:cs="Helvetica"/>
          <w:b/>
          <w:bCs/>
          <w:color w:val="555555"/>
          <w:sz w:val="20"/>
          <w:lang w:eastAsia="lt-LT"/>
        </w:rPr>
        <w:t>Antitèzė</w:t>
      </w:r>
      <w:proofErr w:type="spellEnd"/>
      <w:r w:rsidRPr="00472FE5">
        <w:rPr>
          <w:rFonts w:ascii="Helvetica" w:eastAsia="Times New Roman" w:hAnsi="Helvetica" w:cs="Helvetica"/>
          <w:b/>
          <w:bCs/>
          <w:color w:val="555555"/>
          <w:sz w:val="20"/>
          <w:lang w:eastAsia="lt-LT"/>
        </w:rPr>
        <w:t xml:space="preserve"> [gr. </w:t>
      </w:r>
      <w:proofErr w:type="spellStart"/>
      <w:r w:rsidRPr="00472FE5">
        <w:rPr>
          <w:rFonts w:ascii="Helvetica" w:eastAsia="Times New Roman" w:hAnsi="Helvetica" w:cs="Helvetica"/>
          <w:b/>
          <w:bCs/>
          <w:i/>
          <w:iCs/>
          <w:color w:val="555555"/>
          <w:sz w:val="20"/>
          <w:lang w:eastAsia="lt-LT"/>
        </w:rPr>
        <w:t>antithesis</w:t>
      </w:r>
      <w:proofErr w:type="spellEnd"/>
      <w:r w:rsidRPr="00472FE5">
        <w:rPr>
          <w:rFonts w:ascii="Helvetica" w:eastAsia="Times New Roman" w:hAnsi="Helvetica" w:cs="Helvetica"/>
          <w:b/>
          <w:bCs/>
          <w:color w:val="555555"/>
          <w:sz w:val="20"/>
          <w:lang w:eastAsia="lt-LT"/>
        </w:rPr>
        <w:t> - priešprieša] – </w:t>
      </w:r>
      <w:r w:rsidRPr="00472FE5">
        <w:rPr>
          <w:rFonts w:ascii="Helvetica" w:eastAsia="Times New Roman" w:hAnsi="Helvetica" w:cs="Helvetica"/>
          <w:color w:val="555555"/>
          <w:sz w:val="20"/>
          <w:szCs w:val="20"/>
          <w:lang w:eastAsia="lt-LT"/>
        </w:rPr>
        <w:t xml:space="preserve">priešingų, bet prasme susijusių minčių, vaizdų sugretinimas loginiam ar emociniam įspūdžiui sustiprinti, pvz.: „Priešas kirto </w:t>
      </w:r>
      <w:proofErr w:type="spellStart"/>
      <w:r w:rsidRPr="00472FE5">
        <w:rPr>
          <w:rFonts w:ascii="Helvetica" w:eastAsia="Times New Roman" w:hAnsi="Helvetica" w:cs="Helvetica"/>
          <w:color w:val="555555"/>
          <w:sz w:val="20"/>
          <w:szCs w:val="20"/>
          <w:lang w:eastAsia="lt-LT"/>
        </w:rPr>
        <w:t>kumštim</w:t>
      </w:r>
      <w:proofErr w:type="spellEnd"/>
      <w:r w:rsidRPr="00472FE5">
        <w:rPr>
          <w:rFonts w:ascii="Helvetica" w:eastAsia="Times New Roman" w:hAnsi="Helvetica" w:cs="Helvetica"/>
          <w:color w:val="555555"/>
          <w:sz w:val="20"/>
          <w:szCs w:val="20"/>
          <w:lang w:eastAsia="lt-LT"/>
        </w:rPr>
        <w:t xml:space="preserve"> geležinėm, / O jisai kalbos gimtosios gražumu“ (S.Nėris).</w:t>
      </w:r>
      <w:r w:rsidRPr="00472FE5">
        <w:rPr>
          <w:rFonts w:ascii="Helvetica" w:eastAsia="Times New Roman" w:hAnsi="Helvetica" w:cs="Helvetica"/>
          <w:color w:val="555555"/>
          <w:sz w:val="20"/>
          <w:lang w:eastAsia="lt-LT"/>
        </w:rPr>
        <w:t> </w:t>
      </w:r>
      <w:r w:rsidRPr="00472FE5">
        <w:rPr>
          <w:rFonts w:ascii="Helvetica" w:eastAsia="Times New Roman" w:hAnsi="Helvetica" w:cs="Helvetica"/>
          <w:b/>
          <w:bCs/>
          <w:color w:val="555555"/>
          <w:sz w:val="20"/>
          <w:lang w:eastAsia="lt-LT"/>
        </w:rPr>
        <w:t>Epitetas [gr. </w:t>
      </w:r>
      <w:proofErr w:type="spellStart"/>
      <w:r w:rsidRPr="00472FE5">
        <w:rPr>
          <w:rFonts w:ascii="Helvetica" w:eastAsia="Times New Roman" w:hAnsi="Helvetica" w:cs="Helvetica"/>
          <w:b/>
          <w:bCs/>
          <w:i/>
          <w:iCs/>
          <w:color w:val="555555"/>
          <w:sz w:val="20"/>
          <w:lang w:eastAsia="lt-LT"/>
        </w:rPr>
        <w:t>epitheton</w:t>
      </w:r>
      <w:proofErr w:type="spellEnd"/>
      <w:r w:rsidRPr="00472FE5">
        <w:rPr>
          <w:rFonts w:ascii="Helvetica" w:eastAsia="Times New Roman" w:hAnsi="Helvetica" w:cs="Helvetica"/>
          <w:b/>
          <w:bCs/>
          <w:color w:val="555555"/>
          <w:sz w:val="20"/>
          <w:lang w:eastAsia="lt-LT"/>
        </w:rPr>
        <w:t> - priedėlis] –</w:t>
      </w:r>
      <w:r w:rsidRPr="00472FE5">
        <w:rPr>
          <w:rFonts w:ascii="Helvetica" w:eastAsia="Times New Roman" w:hAnsi="Helvetica" w:cs="Helvetica"/>
          <w:color w:val="555555"/>
          <w:sz w:val="20"/>
          <w:szCs w:val="20"/>
          <w:lang w:eastAsia="lt-LT"/>
        </w:rPr>
        <w:t xml:space="preserve">žodis, žymintis kitu žodžiu įvardyto daikto, asmens, reiškinio arba veiksmo savybę ir teikiantis pasakymui emocinio raiškumo, </w:t>
      </w:r>
      <w:proofErr w:type="spellStart"/>
      <w:r w:rsidRPr="00472FE5">
        <w:rPr>
          <w:rFonts w:ascii="Helvetica" w:eastAsia="Times New Roman" w:hAnsi="Helvetica" w:cs="Helvetica"/>
          <w:color w:val="555555"/>
          <w:sz w:val="20"/>
          <w:szCs w:val="20"/>
          <w:lang w:eastAsia="lt-LT"/>
        </w:rPr>
        <w:t>pvz</w:t>
      </w:r>
      <w:proofErr w:type="spellEnd"/>
      <w:r w:rsidRPr="00472FE5">
        <w:rPr>
          <w:rFonts w:ascii="Helvetica" w:eastAsia="Times New Roman" w:hAnsi="Helvetica" w:cs="Helvetica"/>
          <w:color w:val="555555"/>
          <w:sz w:val="20"/>
          <w:szCs w:val="20"/>
          <w:lang w:eastAsia="lt-LT"/>
        </w:rPr>
        <w:t>,. „tamsiosios girios“.</w:t>
      </w:r>
      <w:r w:rsidRPr="00472FE5">
        <w:rPr>
          <w:rFonts w:ascii="Helvetica" w:eastAsia="Times New Roman" w:hAnsi="Helvetica" w:cs="Helvetica"/>
          <w:color w:val="555555"/>
          <w:sz w:val="20"/>
          <w:lang w:eastAsia="lt-LT"/>
        </w:rPr>
        <w:t> </w:t>
      </w:r>
      <w:r w:rsidRPr="00472FE5">
        <w:rPr>
          <w:rFonts w:ascii="Helvetica" w:eastAsia="Times New Roman" w:hAnsi="Helvetica" w:cs="Helvetica"/>
          <w:b/>
          <w:bCs/>
          <w:color w:val="555555"/>
          <w:sz w:val="20"/>
          <w:lang w:eastAsia="lt-LT"/>
        </w:rPr>
        <w:t>Metafora [gr. </w:t>
      </w:r>
      <w:proofErr w:type="spellStart"/>
      <w:r w:rsidRPr="00472FE5">
        <w:rPr>
          <w:rFonts w:ascii="Helvetica" w:eastAsia="Times New Roman" w:hAnsi="Helvetica" w:cs="Helvetica"/>
          <w:b/>
          <w:bCs/>
          <w:i/>
          <w:iCs/>
          <w:color w:val="555555"/>
          <w:sz w:val="20"/>
          <w:lang w:eastAsia="lt-LT"/>
        </w:rPr>
        <w:t>metaphora</w:t>
      </w:r>
      <w:proofErr w:type="spellEnd"/>
      <w:r w:rsidRPr="00472FE5">
        <w:rPr>
          <w:rFonts w:ascii="Helvetica" w:eastAsia="Times New Roman" w:hAnsi="Helvetica" w:cs="Helvetica"/>
          <w:b/>
          <w:bCs/>
          <w:color w:val="555555"/>
          <w:sz w:val="20"/>
          <w:lang w:eastAsia="lt-LT"/>
        </w:rPr>
        <w:t> - perkėlimas] – </w:t>
      </w:r>
      <w:r w:rsidRPr="00472FE5">
        <w:rPr>
          <w:rFonts w:ascii="Helvetica" w:eastAsia="Times New Roman" w:hAnsi="Helvetica" w:cs="Helvetica"/>
          <w:color w:val="555555"/>
          <w:sz w:val="20"/>
          <w:szCs w:val="20"/>
          <w:lang w:eastAsia="lt-LT"/>
        </w:rPr>
        <w:t>vaizdingas perkeltinės reikšmės pasakymas, paslėptas palyginimas, pagrįstas faktiškai nesusijusių, bet panašių savybių turinčių daiktų, reiškinių gretinimu, tapatinimu; konstrukcija vienanarė: tai, kas lyginama, dažnai neįvardijama, atspėjama iš konteksto, pvz.: „padangių ašaros“; „vilties gėlelė į saulę stiepės“ – S. Nėris.</w:t>
      </w:r>
    </w:p>
    <w:p w:rsidR="00472FE5" w:rsidRPr="00472FE5" w:rsidRDefault="00472FE5" w:rsidP="00472FE5">
      <w:pPr>
        <w:shd w:val="clear" w:color="auto" w:fill="FFFFFF"/>
        <w:spacing w:before="300" w:after="300" w:line="360" w:lineRule="atLeast"/>
        <w:jc w:val="center"/>
        <w:rPr>
          <w:rFonts w:ascii="Helvetica" w:eastAsia="Times New Roman" w:hAnsi="Helvetica" w:cs="Helvetica"/>
          <w:color w:val="555555"/>
          <w:sz w:val="20"/>
          <w:szCs w:val="20"/>
          <w:lang w:eastAsia="lt-LT"/>
        </w:rPr>
      </w:pPr>
      <w:r w:rsidRPr="00472FE5">
        <w:rPr>
          <w:rFonts w:ascii="Helvetica" w:eastAsia="Times New Roman" w:hAnsi="Helvetica" w:cs="Helvetica"/>
          <w:color w:val="555555"/>
          <w:sz w:val="20"/>
          <w:szCs w:val="20"/>
          <w:lang w:eastAsia="lt-LT"/>
        </w:rPr>
        <w:t>************************************************************************************************************</w:t>
      </w:r>
    </w:p>
    <w:p w:rsidR="00D34855" w:rsidRDefault="00D34855"/>
    <w:sectPr w:rsidR="00D34855" w:rsidSect="00D34855">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472FE5"/>
    <w:rsid w:val="00472FE5"/>
    <w:rsid w:val="00D34855"/>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34855"/>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472FE5"/>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472FE5"/>
    <w:rPr>
      <w:b/>
      <w:bCs/>
    </w:rPr>
  </w:style>
  <w:style w:type="character" w:customStyle="1" w:styleId="apple-converted-space">
    <w:name w:val="apple-converted-space"/>
    <w:basedOn w:val="Numatytasispastraiposriftas"/>
    <w:rsid w:val="00472FE5"/>
  </w:style>
  <w:style w:type="character" w:styleId="Hipersaitas">
    <w:name w:val="Hyperlink"/>
    <w:basedOn w:val="Numatytasispastraiposriftas"/>
    <w:uiPriority w:val="99"/>
    <w:semiHidden/>
    <w:unhideWhenUsed/>
    <w:rsid w:val="00472FE5"/>
    <w:rPr>
      <w:color w:val="0000FF"/>
      <w:u w:val="single"/>
    </w:rPr>
  </w:style>
  <w:style w:type="character" w:styleId="Emfaz">
    <w:name w:val="Emphasis"/>
    <w:basedOn w:val="Numatytasispastraiposriftas"/>
    <w:uiPriority w:val="20"/>
    <w:qFormat/>
    <w:rsid w:val="00472FE5"/>
    <w:rPr>
      <w:i/>
      <w:iCs/>
    </w:rPr>
  </w:style>
</w:styles>
</file>

<file path=word/webSettings.xml><?xml version="1.0" encoding="utf-8"?>
<w:webSettings xmlns:r="http://schemas.openxmlformats.org/officeDocument/2006/relationships" xmlns:w="http://schemas.openxmlformats.org/wordprocessingml/2006/main">
  <w:divs>
    <w:div w:id="1399938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3587</Words>
  <Characters>2045</Characters>
  <Application>Microsoft Office Word</Application>
  <DocSecurity>0</DocSecurity>
  <Lines>17</Lines>
  <Paragraphs>11</Paragraphs>
  <ScaleCrop>false</ScaleCrop>
  <Company/>
  <LinksUpToDate>false</LinksUpToDate>
  <CharactersWithSpaces>5621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2013-11-20T13:31:00Z</dcterms:created>
  <dcterms:modified xsi:type="dcterms:W3CDTF">2013-11-20T13:31:00Z</dcterms:modified>
</cp:coreProperties>
</file>