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1968" w:rsidRDefault="00111968" w:rsidP="002728E3">
      <w:pPr>
        <w:spacing w:before="100" w:beforeAutospacing="1" w:after="100" w:afterAutospacing="1" w:line="240" w:lineRule="auto"/>
        <w:rPr>
          <w:rFonts w:ascii="Times New Roman" w:hAnsi="Times New Roman" w:cs="Times New Roman"/>
          <w:sz w:val="24"/>
          <w:szCs w:val="24"/>
          <w:lang w:eastAsia="lt-LT"/>
        </w:rPr>
      </w:pPr>
      <w:r w:rsidRPr="002728E3">
        <w:rPr>
          <w:rFonts w:ascii="Times New Roman" w:hAnsi="Times New Roman" w:cs="Times New Roman"/>
          <w:i/>
          <w:iCs/>
          <w:sz w:val="24"/>
          <w:szCs w:val="24"/>
          <w:lang w:eastAsia="lt-LT"/>
        </w:rPr>
        <w:t>1909 metų vasario 20 dieną italų poetas Filippo Tommaso Marinetti (1876-1944) Par</w:t>
      </w:r>
      <w:r>
        <w:rPr>
          <w:rFonts w:ascii="Times New Roman" w:hAnsi="Times New Roman" w:cs="Times New Roman"/>
          <w:i/>
          <w:iCs/>
          <w:sz w:val="24"/>
          <w:szCs w:val="24"/>
          <w:lang w:eastAsia="lt-LT"/>
        </w:rPr>
        <w:t>y</w:t>
      </w:r>
      <w:r w:rsidRPr="002728E3">
        <w:rPr>
          <w:rFonts w:ascii="Times New Roman" w:hAnsi="Times New Roman" w:cs="Times New Roman"/>
          <w:i/>
          <w:iCs/>
          <w:sz w:val="24"/>
          <w:szCs w:val="24"/>
          <w:lang w:eastAsia="lt-LT"/>
        </w:rPr>
        <w:t>žiaus dienraštyje „Le Figaro“ paskelbė „Futurizmo manifestą“, kuriame buvo pasirašytas nuosprendis senajai kultūrai, tradicinėms vertybėms, aukštinamas ateities menas (il Futurismo), šlovinantis technikos pažangą, didmiesčių grožį, suvis naujas atsiveriančias perspektyvas, dinamiškumą, greitį, agresyvumą, riziką, narsą. Futuristai, ateities garbintojai ir kūrėjai, pasisakė už kišimosi politiką, nacionalizmą, karą, su panieka žiūrėjo į jiems nuobodulį kėlusią akademinę literatūrą, o profesorius, archeologus vadino dvokiančia gangrena. Pasak futuristų, ilgainiui Italija tapo sendaikčių turgumi, jie norį šią šalį išvaduoti iš begalės muziejų, pavertusių šią šalį bekraštėmis kapinėmis.</w:t>
      </w:r>
    </w:p>
    <w:p w:rsidR="00111968" w:rsidRPr="002728E3" w:rsidRDefault="00111968" w:rsidP="002728E3">
      <w:pPr>
        <w:spacing w:before="100" w:beforeAutospacing="1" w:after="100" w:afterAutospacing="1" w:line="240" w:lineRule="auto"/>
        <w:jc w:val="center"/>
        <w:rPr>
          <w:rFonts w:ascii="Times New Roman" w:hAnsi="Times New Roman" w:cs="Times New Roman"/>
          <w:sz w:val="24"/>
          <w:szCs w:val="24"/>
          <w:lang w:eastAsia="lt-LT"/>
        </w:rPr>
      </w:pPr>
      <w:r w:rsidRPr="002728E3">
        <w:rPr>
          <w:rFonts w:ascii="Times New Roman" w:hAnsi="Times New Roman" w:cs="Times New Roman"/>
          <w:sz w:val="24"/>
          <w:szCs w:val="24"/>
          <w:lang w:eastAsia="lt-LT"/>
        </w:rPr>
        <w:br/>
      </w:r>
      <w:r w:rsidRPr="002728E3">
        <w:rPr>
          <w:rFonts w:ascii="Times New Roman" w:hAnsi="Times New Roman" w:cs="Times New Roman"/>
          <w:b/>
          <w:bCs/>
          <w:sz w:val="24"/>
          <w:szCs w:val="24"/>
          <w:lang w:eastAsia="lt-LT"/>
        </w:rPr>
        <w:t>FILIPPO TOMMASO MARINETTI</w:t>
      </w:r>
      <w:r w:rsidRPr="002728E3">
        <w:rPr>
          <w:rFonts w:ascii="Times New Roman" w:hAnsi="Times New Roman" w:cs="Times New Roman"/>
          <w:sz w:val="24"/>
          <w:szCs w:val="24"/>
          <w:lang w:eastAsia="lt-LT"/>
        </w:rPr>
        <w:br/>
      </w:r>
      <w:r w:rsidRPr="002728E3">
        <w:rPr>
          <w:rFonts w:ascii="Times New Roman" w:hAnsi="Times New Roman" w:cs="Times New Roman"/>
          <w:b/>
          <w:bCs/>
          <w:sz w:val="24"/>
          <w:szCs w:val="24"/>
          <w:lang w:eastAsia="lt-LT"/>
        </w:rPr>
        <w:t>FUTURIZMO MANIFESTAS</w:t>
      </w:r>
    </w:p>
    <w:tbl>
      <w:tblPr>
        <w:tblW w:w="8700" w:type="dxa"/>
        <w:tblCellSpacing w:w="0" w:type="dxa"/>
        <w:tblInd w:w="2" w:type="dxa"/>
        <w:tblCellMar>
          <w:left w:w="0" w:type="dxa"/>
          <w:right w:w="0" w:type="dxa"/>
        </w:tblCellMar>
        <w:tblLook w:val="00A0"/>
      </w:tblPr>
      <w:tblGrid>
        <w:gridCol w:w="375"/>
        <w:gridCol w:w="375"/>
        <w:gridCol w:w="7950"/>
      </w:tblGrid>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1.</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Mes norime apdainuoti meilę rizikai, veiklumą ir nutrūktgalviškumą.</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2.</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Drąsa, įžūlumas ir maištas – tai pagrindiniai mūsų poezijos elementai.</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3.</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 xml:space="preserve">Lig šiolei literatūra buvo sustabarėjusi, šlovino ekstazę ir svajonę. Mes norime kelti į padanges agresyvų judėjimą, karštligišką veiklumą, bėgimą, </w:t>
            </w:r>
            <w:r w:rsidRPr="002728E3">
              <w:rPr>
                <w:rFonts w:ascii="Times New Roman" w:hAnsi="Times New Roman" w:cs="Times New Roman"/>
                <w:i/>
                <w:iCs/>
                <w:sz w:val="24"/>
                <w:szCs w:val="24"/>
                <w:lang w:eastAsia="lt-LT"/>
              </w:rPr>
              <w:t>salto mortale</w:t>
            </w:r>
            <w:r w:rsidRPr="002728E3">
              <w:rPr>
                <w:rFonts w:ascii="Times New Roman" w:hAnsi="Times New Roman" w:cs="Times New Roman"/>
                <w:sz w:val="24"/>
                <w:szCs w:val="24"/>
                <w:lang w:eastAsia="lt-LT"/>
              </w:rPr>
              <w:t>, mes už antausį ir kumštį.</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4.</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 xml:space="preserve">Mes teigiame, kad pasaulį užkariavo naujas grožis, greičio grožis. Lenktynių automobilis su savo dailiu kapotu, storais gyvatiškais išmetamųjų dujų vamzdžiais, riaumojantis automobilis, lekiantis tarsi artilerijos sviediniai yra žymiai gražesnis už </w:t>
            </w:r>
            <w:r w:rsidRPr="002728E3">
              <w:rPr>
                <w:rFonts w:ascii="Times New Roman" w:hAnsi="Times New Roman" w:cs="Times New Roman"/>
                <w:i/>
                <w:iCs/>
                <w:sz w:val="24"/>
                <w:szCs w:val="24"/>
                <w:lang w:eastAsia="lt-LT"/>
              </w:rPr>
              <w:t>Vittoria di Samotracia</w:t>
            </w:r>
            <w:r w:rsidRPr="002728E3">
              <w:rPr>
                <w:rFonts w:ascii="Times New Roman" w:hAnsi="Times New Roman" w:cs="Times New Roman"/>
                <w:sz w:val="24"/>
                <w:szCs w:val="24"/>
                <w:lang w:eastAsia="lt-LT"/>
              </w:rPr>
              <w:t xml:space="preserve"> (Nikė – vert. pastaba).</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5.</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Mes norime kurti himnus žmogui, sukiojančiam idealų vairakotį, skriejančiam žaibišku greičiu per Žemę, tiksliau sakant, ratu apie jos orbitą.</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6.</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Poetas su užsidegimu prašmatniai ir dosniai turėtų šlovinti svaigulį keliančius pirminius elementus.</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7.</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Tikras grožis yra kovojantis grožis. Joks neagresyvaus charakterio kūrinys negali būti laikomas šedevru. Poezija turi gimti kaip veržli ataka prieš nežinomas galingas jėgas.</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8.</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Mes esame ant amžių slenksčio!.. Kodėl turėtume dairytis atgalios, jeigu norime išlaužti paslaptingas duris, vardu Neįmanoma. Laikas ir Erdvė mirė vakar. Mes jau gyvename absoliute, kadangi jau sukūrėme visur esantį amžinąjį greitį.</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9.</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Mes norime šlovinti karą – vienintelį pasaulio sanitarą – militarizmą, patriotizmą, griaunamąjį anarchistų gestą, gražias idėjas, dėl kurių mirštama, ir panieką moteriai.</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10.</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Mes norime naikinti muziejus, bibliotekas, visokio plauko akademijas, kovoti prieš moralizmą, feminizmą, prieš menkiausią oportunistinę ar utilitarinę niekšybę.</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11.</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Mes apdainuosime dirbančias, pramogaujančias ir maištaujančias žmonių mases; apdainuosime įvairiaspalves ir polifoniškas revoliucijų jūras šiuolaikinėse sostinėse; apdainuosime vibruojantį nakties karštį, sklindantį nuo ryškiais elektros mėnuliais apšviestų arsenalų ir uostų; godžias stotis, praryjančias rūkstančias gyvates; dangų remiančius gamyklų kaminus, susivijusiais dūmų lynais prisirišusius prie debesų; upes apžergusius tiltus, panašius į milžiniškus gimnastus, šokančius saulėje kaip peilio ašmenys; horizontą šniukštinėjančius ir nuotykių ieškančius garlaivius; bėgiais dundančius lokomotyvus plačiomis krūtinėmis, panašius į didžiulius vamzdžiais pažabotus plieno žirgus; svaigius skrydžius aeroplanų, kurių propeleriai plaikstosi vėjyje kaip vėliavos ir atrodo, kad jiems ploja minia entuziastų.</w:t>
            </w:r>
          </w:p>
        </w:tc>
      </w:tr>
    </w:tbl>
    <w:p w:rsidR="00111968" w:rsidRPr="002728E3" w:rsidRDefault="00111968" w:rsidP="002728E3">
      <w:pPr>
        <w:spacing w:before="100" w:beforeAutospacing="1" w:after="100" w:afterAutospacing="1"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 xml:space="preserve">       </w:t>
      </w:r>
      <w:r w:rsidRPr="002728E3">
        <w:rPr>
          <w:rFonts w:ascii="Times New Roman" w:hAnsi="Times New Roman" w:cs="Times New Roman"/>
          <w:i/>
          <w:iCs/>
          <w:sz w:val="24"/>
          <w:szCs w:val="24"/>
          <w:lang w:eastAsia="lt-LT"/>
        </w:rPr>
        <w:t>1912 metų gegužės 11 dieną pasirodė „Futuristų literatūros techninis manifestas“, kuriame raginama nepaisyti gramatikos taisyklių, laužyti sintaksės normas, vartoti nekaitomas veiksmažodžio formas, kurti semantines analogijas, duoti žodžiui laisvę, panaikinti literatūroje „Aš“ ir kt.</w:t>
      </w:r>
    </w:p>
    <w:p w:rsidR="00111968" w:rsidRPr="002728E3" w:rsidRDefault="00111968" w:rsidP="002728E3">
      <w:pPr>
        <w:spacing w:before="100" w:beforeAutospacing="1" w:after="100" w:afterAutospacing="1" w:line="240" w:lineRule="auto"/>
        <w:jc w:val="center"/>
        <w:rPr>
          <w:rFonts w:ascii="Times New Roman" w:hAnsi="Times New Roman" w:cs="Times New Roman"/>
          <w:sz w:val="24"/>
          <w:szCs w:val="24"/>
          <w:lang w:eastAsia="lt-LT"/>
        </w:rPr>
      </w:pPr>
      <w:r w:rsidRPr="002728E3">
        <w:rPr>
          <w:rFonts w:ascii="Times New Roman" w:hAnsi="Times New Roman" w:cs="Times New Roman"/>
          <w:b/>
          <w:bCs/>
          <w:sz w:val="24"/>
          <w:szCs w:val="24"/>
          <w:lang w:eastAsia="lt-LT"/>
        </w:rPr>
        <w:t>FUTURISTŲ LITERATŪROS TECHNINIS MANIFESTAS</w:t>
      </w:r>
    </w:p>
    <w:tbl>
      <w:tblPr>
        <w:tblW w:w="8700" w:type="dxa"/>
        <w:tblCellSpacing w:w="0" w:type="dxa"/>
        <w:tblInd w:w="2" w:type="dxa"/>
        <w:tblCellMar>
          <w:left w:w="0" w:type="dxa"/>
          <w:right w:w="0" w:type="dxa"/>
        </w:tblCellMar>
        <w:tblLook w:val="00A0"/>
      </w:tblPr>
      <w:tblGrid>
        <w:gridCol w:w="375"/>
        <w:gridCol w:w="375"/>
        <w:gridCol w:w="7950"/>
      </w:tblGrid>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b/>
                <w:bCs/>
                <w:sz w:val="24"/>
                <w:szCs w:val="24"/>
                <w:lang w:eastAsia="lt-LT"/>
              </w:rPr>
              <w:t>1.</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i/>
                <w:iCs/>
                <w:sz w:val="24"/>
                <w:szCs w:val="24"/>
                <w:lang w:eastAsia="lt-LT"/>
              </w:rPr>
              <w:t>Reikia sugriauti sintaksę,</w:t>
            </w:r>
            <w:r w:rsidRPr="002728E3">
              <w:rPr>
                <w:rFonts w:ascii="Times New Roman" w:hAnsi="Times New Roman" w:cs="Times New Roman"/>
                <w:sz w:val="24"/>
                <w:szCs w:val="24"/>
                <w:lang w:eastAsia="lt-LT"/>
              </w:rPr>
              <w:t xml:space="preserve"> daiktavardžiais disponuoti savo nuožiūra.</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b/>
                <w:bCs/>
                <w:sz w:val="24"/>
                <w:szCs w:val="24"/>
                <w:lang w:eastAsia="lt-LT"/>
              </w:rPr>
              <w:t>2.</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i/>
                <w:iCs/>
                <w:sz w:val="24"/>
                <w:szCs w:val="24"/>
                <w:lang w:eastAsia="lt-LT"/>
              </w:rPr>
              <w:t>Reikia vartoti veiksmažodžio infinityvą,</w:t>
            </w:r>
            <w:r w:rsidRPr="002728E3">
              <w:rPr>
                <w:rFonts w:ascii="Times New Roman" w:hAnsi="Times New Roman" w:cs="Times New Roman"/>
                <w:sz w:val="24"/>
                <w:szCs w:val="24"/>
                <w:lang w:eastAsia="lt-LT"/>
              </w:rPr>
              <w:t xml:space="preserve"> kadangi veiksmažodžiai glaudžiai prilimpa prie daiktavardžių ir taip leidžia stebinčiam ar vaizduojančiam rašytojui išvengti </w:t>
            </w:r>
            <w:r w:rsidRPr="002728E3">
              <w:rPr>
                <w:rFonts w:ascii="Times New Roman" w:hAnsi="Times New Roman" w:cs="Times New Roman"/>
                <w:i/>
                <w:iCs/>
                <w:sz w:val="24"/>
                <w:szCs w:val="24"/>
                <w:lang w:eastAsia="lt-LT"/>
              </w:rPr>
              <w:t>aš</w:t>
            </w:r>
            <w:r w:rsidRPr="002728E3">
              <w:rPr>
                <w:rFonts w:ascii="Times New Roman" w:hAnsi="Times New Roman" w:cs="Times New Roman"/>
                <w:sz w:val="24"/>
                <w:szCs w:val="24"/>
                <w:lang w:eastAsia="lt-LT"/>
              </w:rPr>
              <w:t>. Infinityvas pats vienas be niekieno pagalbos gali suteikti gyvenimo tęstinumo ir intuicijos, kad jį suvokia, prasmę.</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b/>
                <w:bCs/>
                <w:sz w:val="24"/>
                <w:szCs w:val="24"/>
                <w:lang w:eastAsia="lt-LT"/>
              </w:rPr>
              <w:t>3.</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i/>
                <w:iCs/>
                <w:sz w:val="24"/>
                <w:szCs w:val="24"/>
                <w:lang w:eastAsia="lt-LT"/>
              </w:rPr>
              <w:t>Reikia pašalinti būdvardį,</w:t>
            </w:r>
            <w:r w:rsidRPr="002728E3">
              <w:rPr>
                <w:rFonts w:ascii="Times New Roman" w:hAnsi="Times New Roman" w:cs="Times New Roman"/>
                <w:sz w:val="24"/>
                <w:szCs w:val="24"/>
                <w:lang w:eastAsia="lt-LT"/>
              </w:rPr>
              <w:t xml:space="preserve"> kadangi nuogas daiktavardis visiškai išlaiko savo pagrindinę spalvą. Būdvardis, turėdamas neryškų charakterį, suponuojantis poilsį, meditaciją, visiškai nedera su mūsų dinamiška vizija.</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b/>
                <w:bCs/>
                <w:sz w:val="24"/>
                <w:szCs w:val="24"/>
                <w:lang w:eastAsia="lt-LT"/>
              </w:rPr>
              <w:t>4.</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i/>
                <w:iCs/>
                <w:sz w:val="24"/>
                <w:szCs w:val="24"/>
                <w:lang w:eastAsia="lt-LT"/>
              </w:rPr>
              <w:t>Reikia pašalinti prieveiksmį,</w:t>
            </w:r>
            <w:r w:rsidRPr="002728E3">
              <w:rPr>
                <w:rFonts w:ascii="Times New Roman" w:hAnsi="Times New Roman" w:cs="Times New Roman"/>
                <w:sz w:val="24"/>
                <w:szCs w:val="24"/>
                <w:lang w:eastAsia="lt-LT"/>
              </w:rPr>
              <w:t xml:space="preserve"> tą pasenusią sagtį, segančią vieną žodį prie kito. Prieveiksmis frazėje išlaiko varginantį stiliaus vieningumą.</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b/>
                <w:bCs/>
                <w:sz w:val="24"/>
                <w:szCs w:val="24"/>
                <w:lang w:eastAsia="lt-LT"/>
              </w:rPr>
              <w:t>5.</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i/>
                <w:iCs/>
                <w:sz w:val="24"/>
                <w:szCs w:val="24"/>
                <w:lang w:eastAsia="lt-LT"/>
              </w:rPr>
              <w:t>Dvigubinti kiekvieną daiktavardį,</w:t>
            </w:r>
            <w:r w:rsidRPr="002728E3">
              <w:rPr>
                <w:rFonts w:ascii="Times New Roman" w:hAnsi="Times New Roman" w:cs="Times New Roman"/>
                <w:sz w:val="24"/>
                <w:szCs w:val="24"/>
                <w:lang w:eastAsia="lt-LT"/>
              </w:rPr>
              <w:t xml:space="preserve"> tai yra paskui daiktavardį turi sekti, be jokio jungtuko, kitas analogiškai su juo susijęs daiktavardis. Pavyzdžiui, vyras-torpedinis kateris, moteris-įlanka, minia-mūša, aikštė-piltuvėlis, durys-čiaupas.</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b/>
                <w:bCs/>
                <w:sz w:val="24"/>
                <w:szCs w:val="24"/>
                <w:lang w:eastAsia="lt-LT"/>
              </w:rPr>
              <w:t>6.</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i/>
                <w:iCs/>
                <w:sz w:val="24"/>
                <w:szCs w:val="24"/>
                <w:lang w:eastAsia="lt-LT"/>
              </w:rPr>
              <w:t>Taip pat panaikinti skyrybos ženklus.</w:t>
            </w:r>
            <w:r w:rsidRPr="002728E3">
              <w:rPr>
                <w:rFonts w:ascii="Times New Roman" w:hAnsi="Times New Roman" w:cs="Times New Roman"/>
                <w:sz w:val="24"/>
                <w:szCs w:val="24"/>
                <w:lang w:eastAsia="lt-LT"/>
              </w:rPr>
              <w:t xml:space="preserve"> Nevartojant būdvardžių, prieveiksmių ir jungtukų, skyrybos ženklai savaime netenka jokios prasmės tekste, kurio gyvas stilius gimsta pats iš savęs, be jokių absurdiškų pauzių, kurias jas verčia daryti kableliai ir taškai. Norėdami pabrėžti tam tikrą ekspresiją, dinamiką, taikykime matematikos ženklus, pavyzdžiui, + – x : = &gt; &lt;, arba muzikos.</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b/>
                <w:bCs/>
                <w:sz w:val="24"/>
                <w:szCs w:val="24"/>
                <w:lang w:eastAsia="lt-LT"/>
              </w:rPr>
              <w:t>7.</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Rašytojai vis dar niekaip negali pabėgti nuo tiesioginės analogijos. Pavyzdžiui, gyvūną jie lygina arba su žmogumi, arba su kitu gyvūnu, beveik tokiu pat, vienas į vieną, kaip kokioje fotografijoje...(Pavyzdžiui, foksterjerą jie lygina su mažutyčiu grynakrauju žirgu. Kiti, kiek pažangesni, tą patį foksterjerą lygina su mažu Morzės aparatu. O aš jį lyginu su kunkuliuojančiu vandeniu. Mes už tai, kad analogijų gradacija būtų kuo platesnė, mes už gilius ir tvirtus ryšius, nors ir gana tolimus.)</w:t>
            </w:r>
          </w:p>
        </w:tc>
      </w:tr>
      <w:tr w:rsidR="00111968" w:rsidRPr="004522AD">
        <w:trPr>
          <w:tblCellSpacing w:w="0" w:type="dxa"/>
        </w:trPr>
        <w:tc>
          <w:tcPr>
            <w:tcW w:w="8700" w:type="dxa"/>
            <w:gridSpan w:val="3"/>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       Analogija yra ne kas kita, o gili meilė, jungianti tolimus, iš pažiūros visai skirtingus ar net priešiškus dalykus. Tik pačios plačiausios analogijos kūrinyje, kurį galime palyginti su sutartinai grojančiu orkestru, padeda aprėpti materijos gyvenimą polichromiškai, polifoniškai ir polimorfiškai.</w:t>
            </w:r>
            <w:r w:rsidRPr="002728E3">
              <w:rPr>
                <w:rFonts w:ascii="Times New Roman" w:hAnsi="Times New Roman" w:cs="Times New Roman"/>
                <w:sz w:val="24"/>
                <w:szCs w:val="24"/>
                <w:lang w:eastAsia="lt-LT"/>
              </w:rPr>
              <w:br/>
              <w:t xml:space="preserve">       Kūrinyje </w:t>
            </w:r>
            <w:r w:rsidRPr="002728E3">
              <w:rPr>
                <w:rFonts w:ascii="Times New Roman" w:hAnsi="Times New Roman" w:cs="Times New Roman"/>
                <w:i/>
                <w:iCs/>
                <w:sz w:val="24"/>
                <w:szCs w:val="24"/>
                <w:lang w:eastAsia="lt-LT"/>
              </w:rPr>
              <w:t>Tripolio mūšis</w:t>
            </w:r>
            <w:r w:rsidRPr="002728E3">
              <w:rPr>
                <w:rFonts w:ascii="Times New Roman" w:hAnsi="Times New Roman" w:cs="Times New Roman"/>
                <w:sz w:val="24"/>
                <w:szCs w:val="24"/>
                <w:lang w:eastAsia="lt-LT"/>
              </w:rPr>
              <w:t xml:space="preserve"> (</w:t>
            </w:r>
            <w:r w:rsidRPr="002728E3">
              <w:rPr>
                <w:rFonts w:ascii="Times New Roman" w:hAnsi="Times New Roman" w:cs="Times New Roman"/>
                <w:i/>
                <w:iCs/>
                <w:sz w:val="24"/>
                <w:szCs w:val="24"/>
                <w:lang w:eastAsia="lt-LT"/>
              </w:rPr>
              <w:t>Battaglia di Tripoli</w:t>
            </w:r>
            <w:r w:rsidRPr="002728E3">
              <w:rPr>
                <w:rFonts w:ascii="Times New Roman" w:hAnsi="Times New Roman" w:cs="Times New Roman"/>
                <w:sz w:val="24"/>
                <w:szCs w:val="24"/>
                <w:lang w:eastAsia="lt-LT"/>
              </w:rPr>
              <w:t>) palyginęs durtuvų sklidiną tranšėją su orkestru, o kulkosvaidį – su fatališka moterimi, nedideliame afrikiečių mūšio epizode aš intuityviai supratau didžiąją dalį universo.</w:t>
            </w:r>
            <w:r w:rsidRPr="002728E3">
              <w:rPr>
                <w:rFonts w:ascii="Times New Roman" w:hAnsi="Times New Roman" w:cs="Times New Roman"/>
                <w:sz w:val="24"/>
                <w:szCs w:val="24"/>
                <w:lang w:eastAsia="lt-LT"/>
              </w:rPr>
              <w:br/>
              <w:t>       Vaizdai – tai ne gėlės, rūšiuojamos ir renkamos itin kruopščiai, kaip teigė Voltaire. Vaizdai – tai poezijos kraujas. Poezijoje turi rikiuotis nepertraukiama virtinė naujų vaizdų, nes be jų poezija yra tik anemija ir chlorozė.</w:t>
            </w:r>
            <w:r w:rsidRPr="002728E3">
              <w:rPr>
                <w:rFonts w:ascii="Times New Roman" w:hAnsi="Times New Roman" w:cs="Times New Roman"/>
                <w:sz w:val="24"/>
                <w:szCs w:val="24"/>
                <w:lang w:eastAsia="lt-LT"/>
              </w:rPr>
              <w:br/>
              <w:t>       Kuo daugiau asociacijų sukelia vaizdai, tuo ilgiau jie turi galios išlaikyti nuostabą. Sakoma, kad reikia tausoti skaitytojo susižavėjimą. Šalin visa tai! Geriau rūpinkimės fatališka laiko korozija, naikinančia ne tik šedevro ekspresyvią reikšmę, bet ir jo galią žavėti. Ar mūsų senos ausys dar nesužalotos Beethoven ir Wagner? Taigi reikia šveisti lauk iš kalbos visus stereotipus, nuvalkiotas metaforas, tai yra beveik viską.</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b/>
                <w:bCs/>
                <w:sz w:val="24"/>
                <w:szCs w:val="24"/>
                <w:lang w:eastAsia="lt-LT"/>
              </w:rPr>
              <w:t>8.</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i/>
                <w:iCs/>
                <w:sz w:val="24"/>
                <w:szCs w:val="24"/>
                <w:lang w:eastAsia="lt-LT"/>
              </w:rPr>
              <w:t>Vaizdai negali būti skirstomi</w:t>
            </w:r>
            <w:r w:rsidRPr="002728E3">
              <w:rPr>
                <w:rFonts w:ascii="Times New Roman" w:hAnsi="Times New Roman" w:cs="Times New Roman"/>
                <w:sz w:val="24"/>
                <w:szCs w:val="24"/>
                <w:lang w:eastAsia="lt-LT"/>
              </w:rPr>
              <w:t xml:space="preserve"> į kilnius ir nešvankius ar vulgarius, ekscentriškus ir natūralius. Intuicija, padedanti juos suvokti, neturi nei preferencijų, nei išankstinių nuomonių. Analogijos – absoliutus šeimininkas visos materijos ir viso intensyvaus gyvenimo.</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b/>
                <w:bCs/>
                <w:sz w:val="24"/>
                <w:szCs w:val="24"/>
                <w:lang w:eastAsia="lt-LT"/>
              </w:rPr>
              <w:t>9.</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Kiekvienas objektas turi kelti, žadinti analogijų grandinę, kondensuotą, besiremiančią esminiu žodžiu.</w:t>
            </w:r>
          </w:p>
        </w:tc>
      </w:tr>
      <w:tr w:rsidR="00111968" w:rsidRPr="004522AD">
        <w:trPr>
          <w:tblCellSpacing w:w="0" w:type="dxa"/>
        </w:trPr>
        <w:tc>
          <w:tcPr>
            <w:tcW w:w="8700" w:type="dxa"/>
            <w:gridSpan w:val="3"/>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       Štai pateiksiu ekspresyvų analogijų grandinės pavyzdį, dar su tradicinės sintaksės „karnavalo kostiumais“:</w:t>
            </w:r>
            <w:r w:rsidRPr="002728E3">
              <w:rPr>
                <w:rFonts w:ascii="Times New Roman" w:hAnsi="Times New Roman" w:cs="Times New Roman"/>
                <w:sz w:val="24"/>
                <w:szCs w:val="24"/>
                <w:lang w:eastAsia="lt-LT"/>
              </w:rPr>
              <w:br/>
              <w:t>       „O taip! Jūs esate nedidukas kulkosvaidis, žavi moteris, ir grėsminga, ir dieviška, nešama nematomų šimtakojųžirgų, staugianti iš nekantrumo. Ak! Netrukus suksitės giltinės rate, keliausite triuškinančio kracho arba pergalės link!.. Trokštate, kad jums giedočiau karštus meilės madrigalus? Jūsų sinjorai... Man jūs panaši į ginamąją kalbą sakantį tribūną, iškalbingą, nenuvargstantį, kurio žodžiai smigte sminga tiesiai į širdis ratu sustojusiems susijaudinusiems klausytojams... Esate šią akimirką visagalis grąžtas, smingantis į kaukolę, pernelyg kietą šiai atkakliai nakčiai... Esate taip pat valcavimo staklės, elektrinės tekinimo staklės, kas dar? Didelis oksidu dengtas svilinantis vamzdis, degantis, kalantis, pamažėle tirpdantis metalinius paskutinių žvaigždžių taškus!.. (</w:t>
            </w:r>
            <w:r w:rsidRPr="002728E3">
              <w:rPr>
                <w:rFonts w:ascii="Times New Roman" w:hAnsi="Times New Roman" w:cs="Times New Roman"/>
                <w:i/>
                <w:iCs/>
                <w:sz w:val="24"/>
                <w:szCs w:val="24"/>
                <w:lang w:eastAsia="lt-LT"/>
              </w:rPr>
              <w:t>Battaglia di Tripoli</w:t>
            </w:r>
            <w:r w:rsidRPr="002728E3">
              <w:rPr>
                <w:rFonts w:ascii="Times New Roman" w:hAnsi="Times New Roman" w:cs="Times New Roman"/>
                <w:sz w:val="24"/>
                <w:szCs w:val="24"/>
                <w:lang w:eastAsia="lt-LT"/>
              </w:rPr>
              <w:t>)</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b/>
                <w:bCs/>
                <w:sz w:val="24"/>
                <w:szCs w:val="24"/>
                <w:lang w:eastAsia="lt-LT"/>
              </w:rPr>
              <w:t>10.</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Kadangi bet kokia tvarka jau fatališkai yra atsargaus ir budraus proto produktas, reikia orkestruoti vaizdus disponuojant kuo didesne netvarka.</w:t>
            </w:r>
          </w:p>
        </w:tc>
      </w:tr>
      <w:tr w:rsidR="00111968" w:rsidRPr="004522AD">
        <w:trPr>
          <w:tblCellSpacing w:w="0" w:type="dxa"/>
        </w:trPr>
        <w:tc>
          <w:tcPr>
            <w:tcW w:w="375"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p>
        </w:tc>
        <w:tc>
          <w:tcPr>
            <w:tcW w:w="375" w:type="dxa"/>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b/>
                <w:bCs/>
                <w:sz w:val="24"/>
                <w:szCs w:val="24"/>
                <w:lang w:eastAsia="lt-LT"/>
              </w:rPr>
              <w:t>11.</w:t>
            </w:r>
          </w:p>
        </w:tc>
        <w:tc>
          <w:tcPr>
            <w:tcW w:w="7950" w:type="dxa"/>
            <w:vAlign w:val="center"/>
          </w:tcPr>
          <w:p w:rsidR="00111968" w:rsidRPr="002728E3" w:rsidRDefault="00111968" w:rsidP="002728E3">
            <w:pPr>
              <w:spacing w:after="0" w:line="240" w:lineRule="auto"/>
              <w:rPr>
                <w:rFonts w:ascii="Times New Roman" w:hAnsi="Times New Roman" w:cs="Times New Roman"/>
                <w:sz w:val="24"/>
                <w:szCs w:val="24"/>
                <w:lang w:eastAsia="lt-LT"/>
              </w:rPr>
            </w:pPr>
            <w:r w:rsidRPr="002728E3">
              <w:rPr>
                <w:rFonts w:ascii="Times New Roman" w:hAnsi="Times New Roman" w:cs="Times New Roman"/>
                <w:sz w:val="24"/>
                <w:szCs w:val="24"/>
                <w:lang w:eastAsia="lt-LT"/>
              </w:rPr>
              <w:t>Vyti lauk iš literatūros įvardį ,,aš“, tai yra panaikinti visą psichologinę raišką. Visiškai bibliotekų ir muziejų sugadintas žmogus, vadovaudamasis logika ir neišmatuojama išmintimi, nieko įdomaus jau nebegali pasiūlyti. Taigi turime jį šveisti iš literatūros; galų gale jį turi pakeisti materija, suvokiama išsyk intuityviai, o tai ne fizikų ir ne chemikų nosiai.</w:t>
            </w:r>
          </w:p>
        </w:tc>
      </w:tr>
    </w:tbl>
    <w:p w:rsidR="00111968" w:rsidRPr="002728E3" w:rsidRDefault="00111968" w:rsidP="002728E3">
      <w:pPr>
        <w:spacing w:before="100" w:beforeAutospacing="1" w:after="100" w:afterAutospacing="1" w:line="240" w:lineRule="auto"/>
        <w:jc w:val="right"/>
        <w:rPr>
          <w:rFonts w:ascii="Times New Roman" w:hAnsi="Times New Roman" w:cs="Times New Roman"/>
          <w:sz w:val="24"/>
          <w:szCs w:val="24"/>
          <w:lang w:eastAsia="lt-LT"/>
        </w:rPr>
      </w:pPr>
      <w:r w:rsidRPr="002728E3">
        <w:rPr>
          <w:rFonts w:ascii="Times New Roman" w:hAnsi="Times New Roman" w:cs="Times New Roman"/>
          <w:sz w:val="24"/>
          <w:szCs w:val="24"/>
          <w:lang w:eastAsia="lt-LT"/>
        </w:rPr>
        <w:t>Iš italų kalbos vertė Veronika V. Vilytė</w:t>
      </w:r>
    </w:p>
    <w:p w:rsidR="00111968" w:rsidRDefault="00111968"/>
    <w:sectPr w:rsidR="00111968" w:rsidSect="002728E3">
      <w:pgSz w:w="11906" w:h="16838"/>
      <w:pgMar w:top="1134"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1296"/>
  <w:hyphenationZone w:val="396"/>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728E3"/>
    <w:rsid w:val="00067DAE"/>
    <w:rsid w:val="00111968"/>
    <w:rsid w:val="002728E3"/>
    <w:rsid w:val="004522AD"/>
    <w:rsid w:val="007562AB"/>
    <w:rsid w:val="007F465A"/>
    <w:rsid w:val="008029CA"/>
    <w:rsid w:val="008170A9"/>
  </w:rsids>
  <m:mathPr>
    <m:mathFont m:val="Cambria Math"/>
    <m:brkBin m:val="before"/>
    <m:brkBinSub m:val="--"/>
    <m:smallFrac m:val="off"/>
    <m:dispDef/>
    <m:lMargin m:val="0"/>
    <m:rMargin m:val="0"/>
    <m:defJc m:val="centerGroup"/>
    <m:wrapIndent m:val="1440"/>
    <m:intLim m:val="subSup"/>
    <m:naryLim m:val="undOvr"/>
  </m:mathPr>
  <w:uiCompat97To2003/>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2AB"/>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2728E3"/>
    <w:pPr>
      <w:spacing w:before="100" w:beforeAutospacing="1" w:after="100" w:afterAutospacing="1" w:line="240" w:lineRule="auto"/>
    </w:pPr>
    <w:rPr>
      <w:rFonts w:ascii="Times New Roman" w:eastAsia="Times New Roman" w:hAnsi="Times New Roman" w:cs="Times New Roman"/>
      <w:sz w:val="24"/>
      <w:szCs w:val="24"/>
      <w:lang w:eastAsia="lt-LT"/>
    </w:rPr>
  </w:style>
</w:styles>
</file>

<file path=word/webSettings.xml><?xml version="1.0" encoding="utf-8"?>
<w:webSettings xmlns:r="http://schemas.openxmlformats.org/officeDocument/2006/relationships" xmlns:w="http://schemas.openxmlformats.org/wordprocessingml/2006/main">
  <w:divs>
    <w:div w:id="185677039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50</TotalTime>
  <Pages>3</Pages>
  <Words>5453</Words>
  <Characters>3109</Characters>
  <Application>Microsoft Office Outlook</Application>
  <DocSecurity>0</DocSecurity>
  <Lines>0</Lines>
  <Paragraphs>0</Paragraphs>
  <ScaleCrop>false</ScaleCrop>
  <Company>Microsoft Corporation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Dauneckiene</cp:lastModifiedBy>
  <cp:revision>2</cp:revision>
  <dcterms:created xsi:type="dcterms:W3CDTF">2011-01-17T19:02:00Z</dcterms:created>
  <dcterms:modified xsi:type="dcterms:W3CDTF">2011-10-26T17:32:00Z</dcterms:modified>
</cp:coreProperties>
</file>