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left w:w="0" w:type="dxa"/>
          <w:right w:w="0" w:type="dxa"/>
        </w:tblCellMar>
        <w:tblLook w:val="04A0"/>
      </w:tblPr>
      <w:tblGrid>
        <w:gridCol w:w="9611"/>
        <w:gridCol w:w="36"/>
        <w:gridCol w:w="51"/>
      </w:tblGrid>
      <w:tr w:rsidR="00EB751C" w:rsidRPr="00EB751C" w:rsidTr="00EB751C">
        <w:trPr>
          <w:tblCellSpacing w:w="15" w:type="dxa"/>
        </w:trPr>
        <w:tc>
          <w:tcPr>
            <w:tcW w:w="5000" w:type="pct"/>
            <w:tcMar>
              <w:top w:w="150" w:type="dxa"/>
              <w:left w:w="0" w:type="dxa"/>
              <w:bottom w:w="0" w:type="dxa"/>
              <w:right w:w="0" w:type="dxa"/>
            </w:tcMar>
            <w:vAlign w:val="center"/>
            <w:hideMark/>
          </w:tcPr>
          <w:p w:rsidR="00EB751C" w:rsidRPr="00EB751C" w:rsidRDefault="00EB751C" w:rsidP="00EB751C">
            <w:pPr>
              <w:spacing w:after="0" w:line="240" w:lineRule="auto"/>
              <w:jc w:val="center"/>
              <w:rPr>
                <w:rFonts w:ascii="Arial" w:eastAsia="Times New Roman" w:hAnsi="Arial" w:cs="Arial"/>
                <w:b/>
                <w:bCs/>
                <w:sz w:val="24"/>
                <w:szCs w:val="24"/>
                <w:lang w:eastAsia="lt-LT"/>
              </w:rPr>
            </w:pPr>
            <w:r w:rsidRPr="00EB751C">
              <w:rPr>
                <w:rFonts w:ascii="Arial" w:eastAsia="Times New Roman" w:hAnsi="Arial" w:cs="Arial"/>
                <w:b/>
                <w:bCs/>
                <w:sz w:val="24"/>
                <w:szCs w:val="24"/>
                <w:lang w:eastAsia="lt-LT"/>
              </w:rPr>
              <w:t xml:space="preserve">Donata </w:t>
            </w:r>
            <w:proofErr w:type="spellStart"/>
            <w:r w:rsidRPr="00EB751C">
              <w:rPr>
                <w:rFonts w:ascii="Arial" w:eastAsia="Times New Roman" w:hAnsi="Arial" w:cs="Arial"/>
                <w:b/>
                <w:bCs/>
                <w:sz w:val="24"/>
                <w:szCs w:val="24"/>
                <w:lang w:eastAsia="lt-LT"/>
              </w:rPr>
              <w:t>Mitaitė</w:t>
            </w:r>
            <w:proofErr w:type="spellEnd"/>
            <w:r w:rsidRPr="00EB751C">
              <w:rPr>
                <w:rFonts w:ascii="Arial" w:eastAsia="Times New Roman" w:hAnsi="Arial" w:cs="Arial"/>
                <w:b/>
                <w:bCs/>
                <w:sz w:val="24"/>
                <w:szCs w:val="24"/>
                <w:lang w:eastAsia="lt-LT"/>
              </w:rPr>
              <w:t xml:space="preserve">. Atšiaurus Tomo Venclovos eilėraščių pasaulis (Tomas Venclova. Sankirta, 2005) </w:t>
            </w:r>
          </w:p>
        </w:tc>
        <w:tc>
          <w:tcPr>
            <w:tcW w:w="5000" w:type="pct"/>
            <w:vAlign w:val="center"/>
            <w:hideMark/>
          </w:tcPr>
          <w:p w:rsidR="00EB751C" w:rsidRPr="00EB751C" w:rsidRDefault="00EB751C" w:rsidP="00EB751C">
            <w:pPr>
              <w:spacing w:after="0" w:line="240" w:lineRule="auto"/>
              <w:jc w:val="right"/>
              <w:rPr>
                <w:rFonts w:ascii="Arial" w:eastAsia="Times New Roman" w:hAnsi="Arial" w:cs="Arial"/>
                <w:sz w:val="18"/>
                <w:szCs w:val="18"/>
                <w:lang w:eastAsia="lt-LT"/>
              </w:rPr>
            </w:pPr>
          </w:p>
        </w:tc>
        <w:tc>
          <w:tcPr>
            <w:tcW w:w="5000" w:type="pct"/>
            <w:vAlign w:val="center"/>
            <w:hideMark/>
          </w:tcPr>
          <w:p w:rsidR="00EB751C" w:rsidRPr="00EB751C" w:rsidRDefault="00EB751C" w:rsidP="00EB751C">
            <w:pPr>
              <w:spacing w:after="0" w:line="240" w:lineRule="auto"/>
              <w:jc w:val="right"/>
              <w:rPr>
                <w:rFonts w:ascii="Arial" w:eastAsia="Times New Roman" w:hAnsi="Arial" w:cs="Arial"/>
                <w:sz w:val="18"/>
                <w:szCs w:val="18"/>
                <w:lang w:eastAsia="lt-LT"/>
              </w:rPr>
            </w:pPr>
          </w:p>
        </w:tc>
      </w:tr>
    </w:tbl>
    <w:p w:rsidR="00EB751C" w:rsidRPr="00EB751C" w:rsidRDefault="00EB751C" w:rsidP="00EB751C">
      <w:pPr>
        <w:shd w:val="clear" w:color="auto" w:fill="FBF7D3"/>
        <w:spacing w:after="0" w:line="240" w:lineRule="auto"/>
        <w:rPr>
          <w:rFonts w:ascii="Arial" w:eastAsia="Times New Roman" w:hAnsi="Arial" w:cs="Arial"/>
          <w:vanish/>
          <w:sz w:val="18"/>
          <w:szCs w:val="18"/>
          <w:lang w:val="en-GB" w:eastAsia="lt-LT"/>
        </w:rPr>
      </w:pPr>
    </w:p>
    <w:tbl>
      <w:tblPr>
        <w:tblW w:w="0" w:type="auto"/>
        <w:tblCellSpacing w:w="15" w:type="dxa"/>
        <w:tblCellMar>
          <w:top w:w="150" w:type="dxa"/>
          <w:left w:w="150" w:type="dxa"/>
          <w:bottom w:w="150" w:type="dxa"/>
          <w:right w:w="150" w:type="dxa"/>
        </w:tblCellMar>
        <w:tblLook w:val="04A0"/>
      </w:tblPr>
      <w:tblGrid>
        <w:gridCol w:w="9698"/>
      </w:tblGrid>
      <w:tr w:rsidR="00EB751C" w:rsidRPr="00EB751C" w:rsidTr="00EB751C">
        <w:trPr>
          <w:tblCellSpacing w:w="15" w:type="dxa"/>
        </w:trPr>
        <w:tc>
          <w:tcPr>
            <w:tcW w:w="0" w:type="auto"/>
            <w:tcMar>
              <w:top w:w="0" w:type="dxa"/>
              <w:left w:w="0" w:type="dxa"/>
              <w:bottom w:w="0" w:type="dxa"/>
              <w:right w:w="0" w:type="dxa"/>
            </w:tcMar>
            <w:hideMark/>
          </w:tcPr>
          <w:p w:rsidR="00EB751C" w:rsidRPr="00EB751C" w:rsidRDefault="00EB751C" w:rsidP="00EB751C">
            <w:pPr>
              <w:spacing w:after="0" w:line="240" w:lineRule="auto"/>
              <w:jc w:val="center"/>
              <w:rPr>
                <w:rFonts w:ascii="Arial" w:eastAsia="Times New Roman" w:hAnsi="Arial" w:cs="Arial"/>
                <w:sz w:val="24"/>
                <w:szCs w:val="24"/>
                <w:lang w:eastAsia="lt-LT"/>
              </w:rPr>
            </w:pPr>
          </w:p>
          <w:p w:rsidR="00EB751C" w:rsidRPr="00EB751C" w:rsidRDefault="00EB751C" w:rsidP="00EB751C">
            <w:pPr>
              <w:spacing w:after="0" w:line="240" w:lineRule="auto"/>
              <w:rPr>
                <w:rFonts w:ascii="Arial" w:eastAsia="Times New Roman" w:hAnsi="Arial" w:cs="Arial"/>
                <w:color w:val="000000"/>
                <w:sz w:val="24"/>
                <w:szCs w:val="24"/>
                <w:u w:val="single"/>
                <w:lang w:eastAsia="lt-LT"/>
              </w:rPr>
            </w:pPr>
            <w:r w:rsidRPr="00EB751C">
              <w:rPr>
                <w:rFonts w:ascii="Arial" w:eastAsia="Times New Roman" w:hAnsi="Arial" w:cs="Arial"/>
                <w:sz w:val="24"/>
                <w:szCs w:val="24"/>
                <w:lang w:eastAsia="lt-LT"/>
              </w:rPr>
              <w:fldChar w:fldCharType="begin"/>
            </w:r>
            <w:r w:rsidRPr="00EB751C">
              <w:rPr>
                <w:rFonts w:ascii="Arial" w:eastAsia="Times New Roman" w:hAnsi="Arial" w:cs="Arial"/>
                <w:sz w:val="24"/>
                <w:szCs w:val="24"/>
                <w:lang w:eastAsia="lt-LT"/>
              </w:rPr>
              <w:instrText xml:space="preserve"> HYPERLINK "http://www.tekstai.lt/images/stories/reklama/venclova%20sankirta.jpg" </w:instrText>
            </w:r>
            <w:r w:rsidRPr="00EB751C">
              <w:rPr>
                <w:rFonts w:ascii="Arial" w:eastAsia="Times New Roman" w:hAnsi="Arial" w:cs="Arial"/>
                <w:sz w:val="24"/>
                <w:szCs w:val="24"/>
                <w:lang w:eastAsia="lt-LT"/>
              </w:rPr>
              <w:fldChar w:fldCharType="separate"/>
            </w:r>
          </w:p>
          <w:p w:rsidR="00EB751C" w:rsidRPr="00EB751C" w:rsidRDefault="00EB751C" w:rsidP="00EB751C">
            <w:pPr>
              <w:spacing w:after="240" w:line="240" w:lineRule="auto"/>
              <w:jc w:val="center"/>
              <w:rPr>
                <w:rFonts w:ascii="Arial" w:eastAsia="Times New Roman" w:hAnsi="Arial" w:cs="Arial"/>
                <w:sz w:val="24"/>
                <w:szCs w:val="24"/>
                <w:lang w:eastAsia="lt-LT"/>
              </w:rPr>
            </w:pPr>
            <w:r>
              <w:rPr>
                <w:rFonts w:ascii="Arial" w:eastAsia="Times New Roman" w:hAnsi="Arial" w:cs="Arial"/>
                <w:noProof/>
                <w:sz w:val="24"/>
                <w:szCs w:val="24"/>
                <w:lang w:eastAsia="lt-LT"/>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114425" cy="1895475"/>
                  <wp:effectExtent l="19050" t="0" r="9525" b="0"/>
                  <wp:wrapSquare wrapText="bothSides"/>
                  <wp:docPr id="3" name="Paveikslėlis 2" descr="http://www.tekstai.lt/plugins/content/mavikthumbnails/thumbnails/117x199-images-stories-reklama-venclova-sankirta.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ekstai.lt/plugins/content/mavikthumbnails/thumbnails/117x199-images-stories-reklama-venclova-sankirta.jpg">
                            <a:hlinkClick r:id="rId4"/>
                          </pic:cNvPr>
                          <pic:cNvPicPr>
                            <a:picLocks noChangeAspect="1" noChangeArrowheads="1"/>
                          </pic:cNvPicPr>
                        </pic:nvPicPr>
                        <pic:blipFill>
                          <a:blip r:embed="rId5" cstate="print"/>
                          <a:srcRect/>
                          <a:stretch>
                            <a:fillRect/>
                          </a:stretch>
                        </pic:blipFill>
                        <pic:spPr bwMode="auto">
                          <a:xfrm>
                            <a:off x="0" y="0"/>
                            <a:ext cx="1114425" cy="1895475"/>
                          </a:xfrm>
                          <a:prstGeom prst="rect">
                            <a:avLst/>
                          </a:prstGeom>
                          <a:noFill/>
                          <a:ln w="9525">
                            <a:noFill/>
                            <a:miter lim="800000"/>
                            <a:headEnd/>
                            <a:tailEnd/>
                          </a:ln>
                        </pic:spPr>
                      </pic:pic>
                    </a:graphicData>
                  </a:graphic>
                </wp:anchor>
              </w:drawing>
            </w:r>
            <w:r w:rsidRPr="00EB751C">
              <w:rPr>
                <w:rFonts w:ascii="Arial" w:eastAsia="Times New Roman" w:hAnsi="Arial" w:cs="Arial"/>
                <w:sz w:val="24"/>
                <w:szCs w:val="24"/>
                <w:lang w:eastAsia="lt-LT"/>
              </w:rPr>
              <w:fldChar w:fldCharType="end"/>
            </w:r>
            <w:r w:rsidRPr="00EB751C">
              <w:rPr>
                <w:rFonts w:ascii="Arial" w:eastAsia="Times New Roman" w:hAnsi="Arial" w:cs="Arial"/>
                <w:b/>
                <w:bCs/>
                <w:sz w:val="24"/>
                <w:szCs w:val="24"/>
                <w:lang w:eastAsia="lt-LT"/>
              </w:rPr>
              <w:t xml:space="preserve">       Tomas Venclova. SANKIRTA. – Vilnius: Lietuvos rašytojų sąjungos leidykla, 2005. </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Sekantiems Tomo Venclovos kūrybą naujoji poeto eilėraščių knyga nėra visai nauja ir netikėta. Keletas eilėraščių jau buvo spausdinti 1999 m. išleistoje „Rinktinėje“, daugelis kitų – įvairiuose periodiniuose leidiniuose. Tačiau poeto talento gerbėjams knygos pasirodymas – visada šventė, tuo labiau, kad T. Venclova reiklus sau, taigi knygoje turbūt nerasime naujai neredaguoto, nešlifuoto teksto. Visi, net mažiausi pakeitimai eilėraštyje yra reikšmingi, kaip </w:t>
            </w:r>
            <w:proofErr w:type="spellStart"/>
            <w:r w:rsidRPr="00EB751C">
              <w:rPr>
                <w:rFonts w:ascii="Arial" w:eastAsia="Times New Roman" w:hAnsi="Arial" w:cs="Arial"/>
                <w:sz w:val="24"/>
                <w:szCs w:val="24"/>
                <w:lang w:eastAsia="lt-LT"/>
              </w:rPr>
              <w:t>programiškai</w:t>
            </w:r>
            <w:proofErr w:type="spellEnd"/>
            <w:r w:rsidRPr="00EB751C">
              <w:rPr>
                <w:rFonts w:ascii="Arial" w:eastAsia="Times New Roman" w:hAnsi="Arial" w:cs="Arial"/>
                <w:sz w:val="24"/>
                <w:szCs w:val="24"/>
                <w:lang w:eastAsia="lt-LT"/>
              </w:rPr>
              <w:t xml:space="preserve"> teigiama knygoje, „...smulkmenų eilėrašty nėra, / ir juo smiltis mažesnė, juo tikriau / ji sugeba pakreipti upės tėkmę“ (p. 41–42). Būdamas ir poetas, ir poezijos tyrinėtojas, T. Venclova tai žino turbūt geriau nei daugelis kitų.</w:t>
            </w:r>
            <w:r w:rsidRPr="00EB751C">
              <w:rPr>
                <w:rFonts w:ascii="Arial" w:eastAsia="Times New Roman" w:hAnsi="Arial" w:cs="Arial"/>
                <w:sz w:val="24"/>
                <w:szCs w:val="24"/>
                <w:lang w:eastAsia="lt-LT"/>
              </w:rPr>
              <w:br/>
            </w:r>
            <w:r w:rsidRPr="00EB751C">
              <w:rPr>
                <w:rFonts w:ascii="Arial" w:eastAsia="Times New Roman" w:hAnsi="Arial" w:cs="Arial"/>
                <w:sz w:val="24"/>
                <w:szCs w:val="24"/>
                <w:lang w:eastAsia="lt-LT"/>
              </w:rPr>
              <w:br/>
              <w:t xml:space="preserve">       Pagrindinės jo poezijos lyrinio subjekto dvasinės atramos išlieka daugmaž pastovios. Jas nužymi ir esminius poetui dalykus primena rinkinį įrėminantys eilėraščiai „Pastoralė“ ir „Prie ežeryno“. Pirmojo paskutinės eilutės skamba taip: „Nuščiūva irklai, stabteli širdis, / ir debesys, užtvindydami brastą, prasiskiria, nelyginant būtis, / dalijama į nebūtį ir raštą“. „Raštas“ gretintinas su „kalbos ženklu“, pažįstamu skaitytojui nuo pat pirmosios poeto knygos, su ten skambėjusiu „lengvu ir beprasmiu žodžiu“. Kalba, raštas, menas T. Venclovai tik ir gali pasipriešinti nebūčiai. Paskutinio rinkinio eilėraščio „Prie ežeryno“ pabaiga tokia: „Paukštis ženklina tik atsparumą / ir kantrybę. Prašyk, ir jie tau bus dovanoti“. Būtent atsparumas, A. Camus stoicizmas visada poetui atrodė tinkamiausias atsakas į pasaulio iššūkius. </w:t>
            </w:r>
            <w:proofErr w:type="spellStart"/>
            <w:r w:rsidRPr="00EB751C">
              <w:rPr>
                <w:rFonts w:ascii="Arial" w:eastAsia="Times New Roman" w:hAnsi="Arial" w:cs="Arial"/>
                <w:sz w:val="24"/>
                <w:szCs w:val="24"/>
                <w:lang w:eastAsia="lt-LT"/>
              </w:rPr>
              <w:t>Linnaea</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borealis</w:t>
            </w:r>
            <w:proofErr w:type="spellEnd"/>
            <w:r w:rsidRPr="00EB751C">
              <w:rPr>
                <w:rFonts w:ascii="Arial" w:eastAsia="Times New Roman" w:hAnsi="Arial" w:cs="Arial"/>
                <w:sz w:val="24"/>
                <w:szCs w:val="24"/>
                <w:lang w:eastAsia="lt-LT"/>
              </w:rPr>
              <w:t xml:space="preserve"> (šiaurinė </w:t>
            </w:r>
            <w:proofErr w:type="spellStart"/>
            <w:r w:rsidRPr="00EB751C">
              <w:rPr>
                <w:rFonts w:ascii="Arial" w:eastAsia="Times New Roman" w:hAnsi="Arial" w:cs="Arial"/>
                <w:sz w:val="24"/>
                <w:szCs w:val="24"/>
                <w:lang w:eastAsia="lt-LT"/>
              </w:rPr>
              <w:t>linėja</w:t>
            </w:r>
            <w:proofErr w:type="spellEnd"/>
            <w:r w:rsidRPr="00EB751C">
              <w:rPr>
                <w:rFonts w:ascii="Arial" w:eastAsia="Times New Roman" w:hAnsi="Arial" w:cs="Arial"/>
                <w:sz w:val="24"/>
                <w:szCs w:val="24"/>
                <w:lang w:eastAsia="lt-LT"/>
              </w:rPr>
              <w:t xml:space="preserve">), žavus, šliaužiantis ir aukštyn trapius žiedelius iškeliantis augalas, viename iš rinkinio eilėraščių atsirado, ko gero, dėl poetiškai skambančio lotyniškojo pavadinimo. Tačiau jis galėtų būti ir savotiškas pasipriešinimo šiauriniam klimatui (žiema, šiaurė, šaltis ir pan. – tai žodžiai, kuriais T. Venclova nusakydavo totalitarizmo atmosferą) pavyzdys. Šiaip jau, aišku, gamtos pasaulis T. Venclovą ne itin žavi, nes gamtos dėsnių yra nulemtas žmogaus gyvenimo finalas: „Gamta, kaip žinom, laimi“ – skaudžiai ironiška fraze eilėraštyje „Balade </w:t>
            </w:r>
            <w:proofErr w:type="spellStart"/>
            <w:r w:rsidRPr="00EB751C">
              <w:rPr>
                <w:rFonts w:ascii="Arial" w:eastAsia="Times New Roman" w:hAnsi="Arial" w:cs="Arial"/>
                <w:sz w:val="24"/>
                <w:szCs w:val="24"/>
                <w:lang w:eastAsia="lt-LT"/>
              </w:rPr>
              <w:t>d'une</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dame</w:t>
            </w:r>
            <w:proofErr w:type="spellEnd"/>
            <w:r w:rsidRPr="00EB751C">
              <w:rPr>
                <w:rFonts w:ascii="Arial" w:eastAsia="Times New Roman" w:hAnsi="Arial" w:cs="Arial"/>
                <w:sz w:val="24"/>
                <w:szCs w:val="24"/>
                <w:lang w:eastAsia="lt-LT"/>
              </w:rPr>
              <w:t xml:space="preserve"> du temps </w:t>
            </w:r>
            <w:proofErr w:type="spellStart"/>
            <w:r w:rsidRPr="00EB751C">
              <w:rPr>
                <w:rFonts w:ascii="Arial" w:eastAsia="Times New Roman" w:hAnsi="Arial" w:cs="Arial"/>
                <w:sz w:val="24"/>
                <w:szCs w:val="24"/>
                <w:lang w:eastAsia="lt-LT"/>
              </w:rPr>
              <w:t>jadis</w:t>
            </w:r>
            <w:proofErr w:type="spellEnd"/>
            <w:r w:rsidRPr="00EB751C">
              <w:rPr>
                <w:rFonts w:ascii="Arial" w:eastAsia="Times New Roman" w:hAnsi="Arial" w:cs="Arial"/>
                <w:sz w:val="24"/>
                <w:szCs w:val="24"/>
                <w:lang w:eastAsia="lt-LT"/>
              </w:rPr>
              <w:t xml:space="preserve">“ reziumuojamas laipsniškas žmogaus kūno pasidavimas nebūčiai. Tačiau manyčiau, kad kultūros ir gamtos pasaulių T. Venclovos kūryboje jokiu būdu negalima </w:t>
            </w:r>
            <w:proofErr w:type="spellStart"/>
            <w:r w:rsidRPr="00EB751C">
              <w:rPr>
                <w:rFonts w:ascii="Arial" w:eastAsia="Times New Roman" w:hAnsi="Arial" w:cs="Arial"/>
                <w:sz w:val="24"/>
                <w:szCs w:val="24"/>
                <w:lang w:eastAsia="lt-LT"/>
              </w:rPr>
              <w:t>aprioriškai</w:t>
            </w:r>
            <w:proofErr w:type="spellEnd"/>
            <w:r w:rsidRPr="00EB751C">
              <w:rPr>
                <w:rFonts w:ascii="Arial" w:eastAsia="Times New Roman" w:hAnsi="Arial" w:cs="Arial"/>
                <w:sz w:val="24"/>
                <w:szCs w:val="24"/>
                <w:lang w:eastAsia="lt-LT"/>
              </w:rPr>
              <w:t xml:space="preserve"> pažymėti pliuso ir minuso ženklais, kaip tai neretai daroma. Net labai nesigilinant tuoj pat galima rasti priešingų pavyzdžių, kad ir jau minėtą atsparumą ženklinantį paukštį arba frazę „Mėlynę šiukšlina irzlus lėktuvas“ ir pan. Šių dviejų pasaulių santykis T. Venclovos poezijoje tikrai nevienareikšmis.</w:t>
            </w:r>
            <w:r w:rsidRPr="00EB751C">
              <w:rPr>
                <w:rFonts w:ascii="Arial" w:eastAsia="Times New Roman" w:hAnsi="Arial" w:cs="Arial"/>
                <w:sz w:val="24"/>
                <w:szCs w:val="24"/>
                <w:lang w:eastAsia="lt-LT"/>
              </w:rPr>
              <w:br/>
            </w:r>
            <w:r w:rsidRPr="00EB751C">
              <w:rPr>
                <w:rFonts w:ascii="Arial" w:eastAsia="Times New Roman" w:hAnsi="Arial" w:cs="Arial"/>
                <w:sz w:val="24"/>
                <w:szCs w:val="24"/>
                <w:lang w:eastAsia="lt-LT"/>
              </w:rPr>
              <w:br/>
              <w:t xml:space="preserve">       Kaip </w:t>
            </w:r>
            <w:proofErr w:type="spellStart"/>
            <w:r w:rsidRPr="00EB751C">
              <w:rPr>
                <w:rFonts w:ascii="Arial" w:eastAsia="Times New Roman" w:hAnsi="Arial" w:cs="Arial"/>
                <w:sz w:val="24"/>
                <w:szCs w:val="24"/>
                <w:lang w:eastAsia="lt-LT"/>
              </w:rPr>
              <w:t>ženkliškas</w:t>
            </w:r>
            <w:proofErr w:type="spellEnd"/>
            <w:r w:rsidRPr="00EB751C">
              <w:rPr>
                <w:rFonts w:ascii="Arial" w:eastAsia="Times New Roman" w:hAnsi="Arial" w:cs="Arial"/>
                <w:sz w:val="24"/>
                <w:szCs w:val="24"/>
                <w:lang w:eastAsia="lt-LT"/>
              </w:rPr>
              <w:t xml:space="preserve"> tarp šios knygos eilėraščių minėtinas „Sankirta“, davęs pavadinimą visam rinkiniui. Jame iš esmės kalbama apie buvimą toje trijų šalių, trijų kultūrų (lietuvių, lenkų, rusų) sankirtos zonoje, kurioje ir skleidžiasi poeto talentas. Taip knygos architektonikoje nužymėtos ribos ar svarbiausieji poetui ženklai. Apskritai ribos, briaunos, esminio pokyčio nuojauta šiame rinkinyje labai svarbi. Žymima istorinės epochos riba, pabrėžiamas kitimas: išardyta į dalis imperija, „eros pabaiga“, „nebesančioj šaly, kitam laike“, „mainosi epochos, / imperijas palydi bergždžias juokas / Ir pergalės kerai neamžini“; aiškiai nujaučiama savojo biografinio laiko riba, artėjančios nebūties, kuri žymi absoliučią </w:t>
            </w:r>
            <w:r w:rsidRPr="00EB751C">
              <w:rPr>
                <w:rFonts w:ascii="Arial" w:eastAsia="Times New Roman" w:hAnsi="Arial" w:cs="Arial"/>
                <w:sz w:val="24"/>
                <w:szCs w:val="24"/>
                <w:lang w:eastAsia="lt-LT"/>
              </w:rPr>
              <w:lastRenderedPageBreak/>
              <w:t>laisvę, zona. Įsimenantis šiuo požiūriu yra eilėraštis „Pasienio giesmė“. Eilėraščio pavadinimas ir jo pradžia kalba lyg ir apie realųjį, valstybę nuo valstybės skiriantį pasienį, antroje eilutėje netgi įmanoma įžiūrėti nuorodas į nacionalinės vėliavos spalvas:</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i/>
                <w:iCs/>
                <w:sz w:val="24"/>
                <w:szCs w:val="24"/>
                <w:lang w:eastAsia="lt-LT"/>
              </w:rPr>
              <w:t>Kuo arčiau prie ribos, tuo statesnė</w:t>
            </w:r>
            <w:r w:rsidRPr="00EB751C">
              <w:rPr>
                <w:rFonts w:ascii="Arial" w:eastAsia="Times New Roman" w:hAnsi="Arial" w:cs="Arial"/>
                <w:i/>
                <w:iCs/>
                <w:sz w:val="24"/>
                <w:szCs w:val="24"/>
                <w:lang w:eastAsia="lt-LT"/>
              </w:rPr>
              <w:br/>
              <w:t>                                          smėlėta kalva.</w:t>
            </w:r>
            <w:r w:rsidRPr="00EB751C">
              <w:rPr>
                <w:rFonts w:ascii="Arial" w:eastAsia="Times New Roman" w:hAnsi="Arial" w:cs="Arial"/>
                <w:i/>
                <w:iCs/>
                <w:sz w:val="24"/>
                <w:szCs w:val="24"/>
                <w:lang w:eastAsia="lt-LT"/>
              </w:rPr>
              <w:br/>
              <w:t>       Rieduliai, aprūdijusios kerpės, geltona ir žalia –</w:t>
            </w:r>
            <w:r w:rsidRPr="00EB751C">
              <w:rPr>
                <w:rFonts w:ascii="Arial" w:eastAsia="Times New Roman" w:hAnsi="Arial" w:cs="Arial"/>
                <w:i/>
                <w:iCs/>
                <w:sz w:val="24"/>
                <w:szCs w:val="24"/>
                <w:lang w:eastAsia="lt-LT"/>
              </w:rPr>
              <w:br/>
              <w:t>       kad paskui po perkūnijos kirčiais</w:t>
            </w:r>
            <w:r w:rsidRPr="00EB751C">
              <w:rPr>
                <w:rFonts w:ascii="Arial" w:eastAsia="Times New Roman" w:hAnsi="Arial" w:cs="Arial"/>
                <w:i/>
                <w:iCs/>
                <w:sz w:val="24"/>
                <w:szCs w:val="24"/>
                <w:lang w:eastAsia="lt-LT"/>
              </w:rPr>
              <w:br/>
              <w:t>                                         pranyktų spalva</w:t>
            </w:r>
            <w:r w:rsidRPr="00EB751C">
              <w:rPr>
                <w:rFonts w:ascii="Arial" w:eastAsia="Times New Roman" w:hAnsi="Arial" w:cs="Arial"/>
                <w:i/>
                <w:iCs/>
                <w:sz w:val="24"/>
                <w:szCs w:val="24"/>
                <w:lang w:eastAsia="lt-LT"/>
              </w:rPr>
              <w:br/>
              <w:t>       ir lietus, lyg atogrąžų zonoje, stulbintų žemę.</w:t>
            </w:r>
          </w:p>
          <w:tbl>
            <w:tblPr>
              <w:tblW w:w="5550" w:type="dxa"/>
              <w:jc w:val="right"/>
              <w:tblCellSpacing w:w="0" w:type="dxa"/>
              <w:tblCellMar>
                <w:left w:w="0" w:type="dxa"/>
                <w:right w:w="0" w:type="dxa"/>
              </w:tblCellMar>
              <w:tblLook w:val="04A0"/>
            </w:tblPr>
            <w:tblGrid>
              <w:gridCol w:w="5550"/>
            </w:tblGrid>
            <w:tr w:rsidR="00EB751C" w:rsidRPr="00EB751C">
              <w:trPr>
                <w:tblCellSpacing w:w="0" w:type="dxa"/>
                <w:jc w:val="right"/>
              </w:trPr>
              <w:tc>
                <w:tcPr>
                  <w:tcW w:w="0" w:type="auto"/>
                  <w:vAlign w:val="center"/>
                  <w:hideMark/>
                </w:tcPr>
                <w:p w:rsidR="00EB751C" w:rsidRPr="00EB751C" w:rsidRDefault="00EB751C" w:rsidP="00EB751C">
                  <w:pPr>
                    <w:spacing w:after="0" w:line="240" w:lineRule="auto"/>
                    <w:rPr>
                      <w:rFonts w:ascii="Arial" w:eastAsia="Times New Roman" w:hAnsi="Arial" w:cs="Arial"/>
                      <w:sz w:val="24"/>
                      <w:szCs w:val="24"/>
                      <w:lang w:eastAsia="lt-LT"/>
                    </w:rPr>
                  </w:pPr>
                  <w:r w:rsidRPr="00EB751C">
                    <w:rPr>
                      <w:rFonts w:ascii="Arial" w:eastAsia="Times New Roman" w:hAnsi="Arial" w:cs="Arial"/>
                      <w:sz w:val="24"/>
                      <w:szCs w:val="24"/>
                      <w:lang w:eastAsia="lt-LT"/>
                    </w:rPr>
                    <w:t>(p. 48)</w:t>
                  </w:r>
                </w:p>
              </w:tc>
            </w:tr>
          </w:tbl>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sz w:val="24"/>
                <w:szCs w:val="24"/>
                <w:lang w:eastAsia="lt-LT"/>
              </w:rPr>
              <w:br/>
              <w:t>       Tačiau kuo toliau, tuo šitokia interpretacija atrodo mažiau įtikinanti. Akivaizdžios tokios artimų, bet vis intensyvėjančių įvaizdžių slinktys: „pasienis, riba, briauna, baigmė, pertrūkis, paribys, niekas“; „</w:t>
            </w:r>
            <w:proofErr w:type="spellStart"/>
            <w:r w:rsidRPr="00EB751C">
              <w:rPr>
                <w:rFonts w:ascii="Arial" w:eastAsia="Times New Roman" w:hAnsi="Arial" w:cs="Arial"/>
                <w:sz w:val="24"/>
                <w:szCs w:val="24"/>
                <w:lang w:eastAsia="lt-LT"/>
              </w:rPr>
              <w:t>santėmis</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išnaktės</w:t>
            </w:r>
            <w:proofErr w:type="spellEnd"/>
            <w:r w:rsidRPr="00EB751C">
              <w:rPr>
                <w:rFonts w:ascii="Arial" w:eastAsia="Times New Roman" w:hAnsi="Arial" w:cs="Arial"/>
                <w:sz w:val="24"/>
                <w:szCs w:val="24"/>
                <w:lang w:eastAsia="lt-LT"/>
              </w:rPr>
              <w:t>, patamsis, tamsybė“. Visi pojūčiai skaudūs, tas skaudumas, net savotiškas liguistumas perkeliamas ir gamtai bei aplinkiniam pasauliui:</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i/>
                <w:iCs/>
                <w:sz w:val="24"/>
                <w:szCs w:val="24"/>
                <w:lang w:eastAsia="lt-LT"/>
              </w:rPr>
              <w:t>Vėtros gerklose raukiasi oras ir mirksta spyglys,</w:t>
            </w:r>
            <w:r w:rsidRPr="00EB751C">
              <w:rPr>
                <w:rFonts w:ascii="Arial" w:eastAsia="Times New Roman" w:hAnsi="Arial" w:cs="Arial"/>
                <w:i/>
                <w:iCs/>
                <w:sz w:val="24"/>
                <w:szCs w:val="24"/>
                <w:lang w:eastAsia="lt-LT"/>
              </w:rPr>
              <w:br/>
              <w:t xml:space="preserve">       balkšvo ežero elipsė atveria </w:t>
            </w:r>
            <w:proofErr w:type="spellStart"/>
            <w:r w:rsidRPr="00EB751C">
              <w:rPr>
                <w:rFonts w:ascii="Arial" w:eastAsia="Times New Roman" w:hAnsi="Arial" w:cs="Arial"/>
                <w:i/>
                <w:iCs/>
                <w:sz w:val="24"/>
                <w:szCs w:val="24"/>
                <w:lang w:eastAsia="lt-LT"/>
              </w:rPr>
              <w:t>priedumblio</w:t>
            </w:r>
            <w:proofErr w:type="spellEnd"/>
            <w:r w:rsidRPr="00EB751C">
              <w:rPr>
                <w:rFonts w:ascii="Arial" w:eastAsia="Times New Roman" w:hAnsi="Arial" w:cs="Arial"/>
                <w:i/>
                <w:iCs/>
                <w:sz w:val="24"/>
                <w:szCs w:val="24"/>
                <w:lang w:eastAsia="lt-LT"/>
              </w:rPr>
              <w:t xml:space="preserve"> klodą,</w:t>
            </w:r>
            <w:r w:rsidRPr="00EB751C">
              <w:rPr>
                <w:rFonts w:ascii="Arial" w:eastAsia="Times New Roman" w:hAnsi="Arial" w:cs="Arial"/>
                <w:i/>
                <w:iCs/>
                <w:sz w:val="24"/>
                <w:szCs w:val="24"/>
                <w:lang w:eastAsia="lt-LT"/>
              </w:rPr>
              <w:br/>
              <w:t>       o tamsa virš takų, skildama į skardingas dalis,</w:t>
            </w:r>
            <w:r w:rsidRPr="00EB751C">
              <w:rPr>
                <w:rFonts w:ascii="Arial" w:eastAsia="Times New Roman" w:hAnsi="Arial" w:cs="Arial"/>
                <w:i/>
                <w:iCs/>
                <w:sz w:val="24"/>
                <w:szCs w:val="24"/>
                <w:lang w:eastAsia="lt-LT"/>
              </w:rPr>
              <w:br/>
              <w:t>       lyg ledinė litavimo lempa nusvilina odą.</w:t>
            </w:r>
          </w:p>
          <w:tbl>
            <w:tblPr>
              <w:tblW w:w="5550" w:type="dxa"/>
              <w:jc w:val="right"/>
              <w:tblCellSpacing w:w="0" w:type="dxa"/>
              <w:tblCellMar>
                <w:left w:w="0" w:type="dxa"/>
                <w:right w:w="0" w:type="dxa"/>
              </w:tblCellMar>
              <w:tblLook w:val="04A0"/>
            </w:tblPr>
            <w:tblGrid>
              <w:gridCol w:w="5550"/>
            </w:tblGrid>
            <w:tr w:rsidR="00EB751C" w:rsidRPr="00EB751C">
              <w:trPr>
                <w:tblCellSpacing w:w="0" w:type="dxa"/>
                <w:jc w:val="right"/>
              </w:trPr>
              <w:tc>
                <w:tcPr>
                  <w:tcW w:w="0" w:type="auto"/>
                  <w:vAlign w:val="center"/>
                  <w:hideMark/>
                </w:tcPr>
                <w:p w:rsidR="00EB751C" w:rsidRPr="00EB751C" w:rsidRDefault="00EB751C" w:rsidP="00EB751C">
                  <w:pPr>
                    <w:spacing w:after="0" w:line="240" w:lineRule="auto"/>
                    <w:rPr>
                      <w:rFonts w:ascii="Arial" w:eastAsia="Times New Roman" w:hAnsi="Arial" w:cs="Arial"/>
                      <w:sz w:val="24"/>
                      <w:szCs w:val="24"/>
                      <w:lang w:eastAsia="lt-LT"/>
                    </w:rPr>
                  </w:pPr>
                  <w:r w:rsidRPr="00EB751C">
                    <w:rPr>
                      <w:rFonts w:ascii="Arial" w:eastAsia="Times New Roman" w:hAnsi="Arial" w:cs="Arial"/>
                      <w:sz w:val="24"/>
                      <w:szCs w:val="24"/>
                      <w:lang w:eastAsia="lt-LT"/>
                    </w:rPr>
                    <w:t>(p. 48)</w:t>
                  </w:r>
                </w:p>
              </w:tc>
            </w:tr>
          </w:tbl>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w:t>
            </w:r>
            <w:r w:rsidRPr="00EB751C">
              <w:rPr>
                <w:rFonts w:ascii="Arial" w:eastAsia="Times New Roman" w:hAnsi="Arial" w:cs="Arial"/>
                <w:sz w:val="24"/>
                <w:szCs w:val="24"/>
                <w:lang w:eastAsia="lt-LT"/>
              </w:rPr>
              <w:br/>
              <w:t>       Arba:</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i/>
                <w:iCs/>
                <w:sz w:val="24"/>
                <w:szCs w:val="24"/>
                <w:lang w:eastAsia="lt-LT"/>
              </w:rPr>
              <w:t>Spinduliai susiranda slaptavietę šiapus kertės,</w:t>
            </w:r>
            <w:r w:rsidRPr="00EB751C">
              <w:rPr>
                <w:rFonts w:ascii="Arial" w:eastAsia="Times New Roman" w:hAnsi="Arial" w:cs="Arial"/>
                <w:i/>
                <w:iCs/>
                <w:sz w:val="24"/>
                <w:szCs w:val="24"/>
                <w:lang w:eastAsia="lt-LT"/>
              </w:rPr>
              <w:br/>
              <w:t xml:space="preserve">       tarp langinės vokų ir pūliuojančio stiklo </w:t>
            </w:r>
            <w:proofErr w:type="spellStart"/>
            <w:r w:rsidRPr="00EB751C">
              <w:rPr>
                <w:rFonts w:ascii="Arial" w:eastAsia="Times New Roman" w:hAnsi="Arial" w:cs="Arial"/>
                <w:i/>
                <w:iCs/>
                <w:sz w:val="24"/>
                <w:szCs w:val="24"/>
                <w:lang w:eastAsia="lt-LT"/>
              </w:rPr>
              <w:t>trachomos</w:t>
            </w:r>
            <w:proofErr w:type="spellEnd"/>
            <w:r w:rsidRPr="00EB751C">
              <w:rPr>
                <w:rFonts w:ascii="Arial" w:eastAsia="Times New Roman" w:hAnsi="Arial" w:cs="Arial"/>
                <w:i/>
                <w:iCs/>
                <w:sz w:val="24"/>
                <w:szCs w:val="24"/>
                <w:lang w:eastAsia="lt-LT"/>
              </w:rPr>
              <w:t>.</w:t>
            </w:r>
          </w:p>
          <w:tbl>
            <w:tblPr>
              <w:tblW w:w="5550" w:type="dxa"/>
              <w:jc w:val="right"/>
              <w:tblCellSpacing w:w="0" w:type="dxa"/>
              <w:tblCellMar>
                <w:left w:w="0" w:type="dxa"/>
                <w:right w:w="0" w:type="dxa"/>
              </w:tblCellMar>
              <w:tblLook w:val="04A0"/>
            </w:tblPr>
            <w:tblGrid>
              <w:gridCol w:w="5550"/>
            </w:tblGrid>
            <w:tr w:rsidR="00EB751C" w:rsidRPr="00EB751C">
              <w:trPr>
                <w:tblCellSpacing w:w="0" w:type="dxa"/>
                <w:jc w:val="right"/>
              </w:trPr>
              <w:tc>
                <w:tcPr>
                  <w:tcW w:w="0" w:type="auto"/>
                  <w:vAlign w:val="center"/>
                  <w:hideMark/>
                </w:tcPr>
                <w:p w:rsidR="00EB751C" w:rsidRPr="00EB751C" w:rsidRDefault="00EB751C" w:rsidP="00EB751C">
                  <w:pPr>
                    <w:spacing w:after="0" w:line="240" w:lineRule="auto"/>
                    <w:rPr>
                      <w:rFonts w:ascii="Arial" w:eastAsia="Times New Roman" w:hAnsi="Arial" w:cs="Arial"/>
                      <w:sz w:val="24"/>
                      <w:szCs w:val="24"/>
                      <w:lang w:eastAsia="lt-LT"/>
                    </w:rPr>
                  </w:pPr>
                  <w:r w:rsidRPr="00EB751C">
                    <w:rPr>
                      <w:rFonts w:ascii="Arial" w:eastAsia="Times New Roman" w:hAnsi="Arial" w:cs="Arial"/>
                      <w:sz w:val="24"/>
                      <w:szCs w:val="24"/>
                      <w:lang w:eastAsia="lt-LT"/>
                    </w:rPr>
                    <w:t>(p. 49)</w:t>
                  </w:r>
                </w:p>
              </w:tc>
            </w:tr>
          </w:tbl>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sz w:val="24"/>
                <w:szCs w:val="24"/>
                <w:lang w:eastAsia="lt-LT"/>
              </w:rPr>
              <w:br/>
              <w:t>       Skaitant paskutinę strofą tampa akivaizdu, kad esminė siena ar riba šiame eilėraštyje yra gyvenimo ir mirties sankirta, ta, prie kurios artėja pirmoje strofoje paminėtos lenktynės („Taip lenktynių su laikrodžiu eina nutirpus širdis / ir, sakytum, pradžiunga, suvokus, jog laikrodis laimi“):</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w:t>
            </w:r>
            <w:r w:rsidRPr="00EB751C">
              <w:rPr>
                <w:rFonts w:ascii="Arial" w:eastAsia="Times New Roman" w:hAnsi="Arial" w:cs="Arial"/>
                <w:i/>
                <w:iCs/>
                <w:sz w:val="24"/>
                <w:szCs w:val="24"/>
                <w:lang w:eastAsia="lt-LT"/>
              </w:rPr>
              <w:t>   Pratink žvilgsnį prie nieko, prie savo tikrosios valdos.</w:t>
            </w:r>
            <w:r w:rsidRPr="00EB751C">
              <w:rPr>
                <w:rFonts w:ascii="Arial" w:eastAsia="Times New Roman" w:hAnsi="Arial" w:cs="Arial"/>
                <w:i/>
                <w:iCs/>
                <w:sz w:val="24"/>
                <w:szCs w:val="24"/>
                <w:lang w:eastAsia="lt-LT"/>
              </w:rPr>
              <w:br/>
              <w:t>       Pratink ausį prie aido, kuris atitrūksta nuo miško,</w:t>
            </w:r>
            <w:r w:rsidRPr="00EB751C">
              <w:rPr>
                <w:rFonts w:ascii="Arial" w:eastAsia="Times New Roman" w:hAnsi="Arial" w:cs="Arial"/>
                <w:i/>
                <w:iCs/>
                <w:sz w:val="24"/>
                <w:szCs w:val="24"/>
                <w:lang w:eastAsia="lt-LT"/>
              </w:rPr>
              <w:br/>
              <w:t>       nuo žvaigždyno, beorės erdvės, abejingos gamtos –</w:t>
            </w:r>
            <w:r w:rsidRPr="00EB751C">
              <w:rPr>
                <w:rFonts w:ascii="Arial" w:eastAsia="Times New Roman" w:hAnsi="Arial" w:cs="Arial"/>
                <w:i/>
                <w:iCs/>
                <w:sz w:val="24"/>
                <w:szCs w:val="24"/>
                <w:lang w:eastAsia="lt-LT"/>
              </w:rPr>
              <w:br/>
              <w:t>       jam nereikia visatos, nelyginant laikino disko.</w:t>
            </w:r>
          </w:p>
          <w:tbl>
            <w:tblPr>
              <w:tblW w:w="5550" w:type="dxa"/>
              <w:jc w:val="right"/>
              <w:tblCellSpacing w:w="0" w:type="dxa"/>
              <w:tblCellMar>
                <w:left w:w="0" w:type="dxa"/>
                <w:right w:w="0" w:type="dxa"/>
              </w:tblCellMar>
              <w:tblLook w:val="04A0"/>
            </w:tblPr>
            <w:tblGrid>
              <w:gridCol w:w="5550"/>
            </w:tblGrid>
            <w:tr w:rsidR="00EB751C" w:rsidRPr="00EB751C">
              <w:trPr>
                <w:tblCellSpacing w:w="0" w:type="dxa"/>
                <w:jc w:val="right"/>
              </w:trPr>
              <w:tc>
                <w:tcPr>
                  <w:tcW w:w="0" w:type="auto"/>
                  <w:vAlign w:val="center"/>
                  <w:hideMark/>
                </w:tcPr>
                <w:p w:rsidR="00EB751C" w:rsidRPr="00EB751C" w:rsidRDefault="00EB751C" w:rsidP="00EB751C">
                  <w:pPr>
                    <w:spacing w:after="0" w:line="240" w:lineRule="auto"/>
                    <w:rPr>
                      <w:rFonts w:ascii="Arial" w:eastAsia="Times New Roman" w:hAnsi="Arial" w:cs="Arial"/>
                      <w:sz w:val="24"/>
                      <w:szCs w:val="24"/>
                      <w:lang w:eastAsia="lt-LT"/>
                    </w:rPr>
                  </w:pPr>
                  <w:r w:rsidRPr="00EB751C">
                    <w:rPr>
                      <w:rFonts w:ascii="Arial" w:eastAsia="Times New Roman" w:hAnsi="Arial" w:cs="Arial"/>
                      <w:sz w:val="24"/>
                      <w:szCs w:val="24"/>
                      <w:lang w:eastAsia="lt-LT"/>
                    </w:rPr>
                    <w:t>(p. 49)</w:t>
                  </w:r>
                </w:p>
              </w:tc>
            </w:tr>
          </w:tbl>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18"/>
                <w:szCs w:val="18"/>
                <w:lang w:eastAsia="lt-LT"/>
              </w:rPr>
              <w:t> </w:t>
            </w:r>
            <w:r w:rsidRPr="00EB751C">
              <w:rPr>
                <w:rFonts w:ascii="Arial" w:eastAsia="Times New Roman" w:hAnsi="Arial" w:cs="Arial"/>
                <w:sz w:val="18"/>
                <w:szCs w:val="18"/>
                <w:lang w:eastAsia="lt-LT"/>
              </w:rPr>
              <w:br/>
              <w:t xml:space="preserve">       </w:t>
            </w:r>
            <w:r w:rsidRPr="00EB751C">
              <w:rPr>
                <w:rFonts w:ascii="Arial" w:eastAsia="Times New Roman" w:hAnsi="Arial" w:cs="Arial"/>
                <w:sz w:val="24"/>
                <w:szCs w:val="24"/>
                <w:lang w:eastAsia="lt-LT"/>
              </w:rPr>
              <w:t>Klajūnas, klajoklis ar stebėtojas, kaip kituose eilėraščiuose įvardijamas subjektas, pratinasi prie nebūties, mokosi nebūtyje pasijusti esąs namie. Tai vienas gražiausių rinkinio eilėraščių, išsiskiriantis, be kita ko, ir tuo, kad poeto pastaruoju metu pamėgtas pasakojimas čia nėra toks ryškus.</w:t>
            </w:r>
            <w:r w:rsidRPr="00EB751C">
              <w:rPr>
                <w:rFonts w:ascii="Arial" w:eastAsia="Times New Roman" w:hAnsi="Arial" w:cs="Arial"/>
                <w:sz w:val="24"/>
                <w:szCs w:val="24"/>
                <w:lang w:eastAsia="lt-LT"/>
              </w:rPr>
              <w:br/>
            </w:r>
            <w:r w:rsidRPr="00EB751C">
              <w:rPr>
                <w:rFonts w:ascii="Arial" w:eastAsia="Times New Roman" w:hAnsi="Arial" w:cs="Arial"/>
                <w:sz w:val="24"/>
                <w:szCs w:val="24"/>
                <w:lang w:eastAsia="lt-LT"/>
              </w:rPr>
              <w:br/>
              <w:t xml:space="preserve">       Beje, šiame rinkinyje pastebima ir tai, ko anksčiau T. Venclova taip atvirai nepasakydavo galbūt todėl, kad koncentravosi į santykį su totalitarine imperija, kurioje </w:t>
            </w:r>
            <w:r w:rsidRPr="00EB751C">
              <w:rPr>
                <w:rFonts w:ascii="Arial" w:eastAsia="Times New Roman" w:hAnsi="Arial" w:cs="Arial"/>
                <w:sz w:val="24"/>
                <w:szCs w:val="24"/>
                <w:lang w:eastAsia="lt-LT"/>
              </w:rPr>
              <w:lastRenderedPageBreak/>
              <w:t>viešpataujančius prievartą ir melą jis suvokė kaip laikinus ir jų laikinumui priešino meno amžinumą. Vienas naujo rinkinio leitmotyvų – amžinybės požiūriu mirtinga viskas: „žymės / išdyla kūnuos, atmintis apmiršta, / neatsilaiko žodis, mokslas, menas, / rauda gerklėj nustelbia gerą žinią“ arba „Mūsų laukia siena, / kurios neperžengsi. Kalba išnyks, / kaip mes visi išnykstame. Bet tai / neverta net ironijos“ (p. 44). Pastaroji citata iš eilėraščio, kuris ne tik turi epigrafą iš A. Achmatovos poezijos, bet kuriame atpažįstamas ir pats rusų poetės portretas. Beje, kritikų daugybę kartų cituotoje paskutinėje eilėraščio „Poeto atminimui. Variantas“ strofoje („Palik pakrantę. Plaukime. Jau metas. / Suskyla akmens ir išsenka melas, / Bet lieka vienas liudininkas – menas...“), be O. Mandelštamo, kuriam ir dedikuotas kūrinys, irgi buvo girdimas A. Achmatovos žodžių („</w:t>
            </w:r>
            <w:proofErr w:type="spellStart"/>
            <w:r w:rsidRPr="00EB751C">
              <w:rPr>
                <w:rFonts w:ascii="Arial" w:eastAsia="Times New Roman" w:hAnsi="Arial" w:cs="Arial"/>
                <w:sz w:val="24"/>
                <w:szCs w:val="24"/>
                <w:lang w:eastAsia="lt-LT"/>
              </w:rPr>
              <w:t>Ржавеет</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золото</w:t>
            </w:r>
            <w:proofErr w:type="spellEnd"/>
            <w:r w:rsidRPr="00EB751C">
              <w:rPr>
                <w:rFonts w:ascii="Arial" w:eastAsia="Times New Roman" w:hAnsi="Arial" w:cs="Arial"/>
                <w:sz w:val="24"/>
                <w:szCs w:val="24"/>
                <w:lang w:eastAsia="lt-LT"/>
              </w:rPr>
              <w:t xml:space="preserve"> и </w:t>
            </w:r>
            <w:proofErr w:type="spellStart"/>
            <w:r w:rsidRPr="00EB751C">
              <w:rPr>
                <w:rFonts w:ascii="Arial" w:eastAsia="Times New Roman" w:hAnsi="Arial" w:cs="Arial"/>
                <w:sz w:val="24"/>
                <w:szCs w:val="24"/>
                <w:lang w:eastAsia="lt-LT"/>
              </w:rPr>
              <w:t>истлевает</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сталь</w:t>
            </w:r>
            <w:proofErr w:type="spellEnd"/>
            <w:r w:rsidRPr="00EB751C">
              <w:rPr>
                <w:rFonts w:ascii="Arial" w:eastAsia="Times New Roman" w:hAnsi="Arial" w:cs="Arial"/>
                <w:sz w:val="24"/>
                <w:szCs w:val="24"/>
                <w:lang w:eastAsia="lt-LT"/>
              </w:rPr>
              <w:t xml:space="preserve">, / </w:t>
            </w:r>
            <w:proofErr w:type="spellStart"/>
            <w:r w:rsidRPr="00EB751C">
              <w:rPr>
                <w:rFonts w:ascii="Arial" w:eastAsia="Times New Roman" w:hAnsi="Arial" w:cs="Arial"/>
                <w:sz w:val="24"/>
                <w:szCs w:val="24"/>
                <w:lang w:eastAsia="lt-LT"/>
              </w:rPr>
              <w:t>Крошится</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мрамор</w:t>
            </w:r>
            <w:proofErr w:type="spellEnd"/>
            <w:r w:rsidRPr="00EB751C">
              <w:rPr>
                <w:rFonts w:ascii="Arial" w:eastAsia="Times New Roman" w:hAnsi="Arial" w:cs="Arial"/>
                <w:sz w:val="24"/>
                <w:szCs w:val="24"/>
                <w:lang w:eastAsia="lt-LT"/>
              </w:rPr>
              <w:t xml:space="preserve"> – к </w:t>
            </w:r>
            <w:proofErr w:type="spellStart"/>
            <w:r w:rsidRPr="00EB751C">
              <w:rPr>
                <w:rFonts w:ascii="Arial" w:eastAsia="Times New Roman" w:hAnsi="Arial" w:cs="Arial"/>
                <w:sz w:val="24"/>
                <w:szCs w:val="24"/>
                <w:lang w:eastAsia="lt-LT"/>
              </w:rPr>
              <w:t>смерти</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все</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готово</w:t>
            </w:r>
            <w:proofErr w:type="spellEnd"/>
            <w:r w:rsidRPr="00EB751C">
              <w:rPr>
                <w:rFonts w:ascii="Arial" w:eastAsia="Times New Roman" w:hAnsi="Arial" w:cs="Arial"/>
                <w:sz w:val="24"/>
                <w:szCs w:val="24"/>
                <w:lang w:eastAsia="lt-LT"/>
              </w:rPr>
              <w:t xml:space="preserve">. / </w:t>
            </w:r>
            <w:proofErr w:type="spellStart"/>
            <w:r w:rsidRPr="00EB751C">
              <w:rPr>
                <w:rFonts w:ascii="Arial" w:eastAsia="Times New Roman" w:hAnsi="Arial" w:cs="Arial"/>
                <w:sz w:val="24"/>
                <w:szCs w:val="24"/>
                <w:lang w:eastAsia="lt-LT"/>
              </w:rPr>
              <w:t>Всего</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прочнее</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на</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земле</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печаль</w:t>
            </w:r>
            <w:proofErr w:type="spellEnd"/>
            <w:r w:rsidRPr="00EB751C">
              <w:rPr>
                <w:rFonts w:ascii="Arial" w:eastAsia="Times New Roman" w:hAnsi="Arial" w:cs="Arial"/>
                <w:sz w:val="24"/>
                <w:szCs w:val="24"/>
                <w:lang w:eastAsia="lt-LT"/>
              </w:rPr>
              <w:t xml:space="preserve"> / И </w:t>
            </w:r>
            <w:proofErr w:type="spellStart"/>
            <w:r w:rsidRPr="00EB751C">
              <w:rPr>
                <w:rFonts w:ascii="Arial" w:eastAsia="Times New Roman" w:hAnsi="Arial" w:cs="Arial"/>
                <w:sz w:val="24"/>
                <w:szCs w:val="24"/>
                <w:lang w:eastAsia="lt-LT"/>
              </w:rPr>
              <w:t>долговечней</w:t>
            </w:r>
            <w:proofErr w:type="spellEnd"/>
            <w:r w:rsidRPr="00EB751C">
              <w:rPr>
                <w:rFonts w:ascii="Arial" w:eastAsia="Times New Roman" w:hAnsi="Arial" w:cs="Arial"/>
                <w:sz w:val="24"/>
                <w:szCs w:val="24"/>
                <w:lang w:eastAsia="lt-LT"/>
              </w:rPr>
              <w:t xml:space="preserve"> – </w:t>
            </w:r>
            <w:proofErr w:type="spellStart"/>
            <w:r w:rsidRPr="00EB751C">
              <w:rPr>
                <w:rFonts w:ascii="Arial" w:eastAsia="Times New Roman" w:hAnsi="Arial" w:cs="Arial"/>
                <w:sz w:val="24"/>
                <w:szCs w:val="24"/>
                <w:lang w:eastAsia="lt-LT"/>
              </w:rPr>
              <w:t>царственное</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слово</w:t>
            </w:r>
            <w:proofErr w:type="spellEnd"/>
            <w:r w:rsidRPr="00EB751C">
              <w:rPr>
                <w:rFonts w:ascii="Arial" w:eastAsia="Times New Roman" w:hAnsi="Arial" w:cs="Arial"/>
                <w:sz w:val="24"/>
                <w:szCs w:val="24"/>
                <w:lang w:eastAsia="lt-LT"/>
              </w:rPr>
              <w:t xml:space="preserve">“) atgarsis. Minėtas T. Venclovos eilėraštis parašytas 1969 m. ir jame A. Achmatovos eilučių patosas tarsi sustiprintas, meno gyvybingumas </w:t>
            </w:r>
            <w:proofErr w:type="spellStart"/>
            <w:r w:rsidRPr="00EB751C">
              <w:rPr>
                <w:rFonts w:ascii="Arial" w:eastAsia="Times New Roman" w:hAnsi="Arial" w:cs="Arial"/>
                <w:sz w:val="24"/>
                <w:szCs w:val="24"/>
                <w:lang w:eastAsia="lt-LT"/>
              </w:rPr>
              <w:t>absoliutizuotas</w:t>
            </w:r>
            <w:proofErr w:type="spellEnd"/>
            <w:r w:rsidRPr="00EB751C">
              <w:rPr>
                <w:rFonts w:ascii="Arial" w:eastAsia="Times New Roman" w:hAnsi="Arial" w:cs="Arial"/>
                <w:sz w:val="24"/>
                <w:szCs w:val="24"/>
                <w:lang w:eastAsia="lt-LT"/>
              </w:rPr>
              <w:t>, kaip jaunam poetui ir dera. Naujame rinkinyje vyrauja blaivus, stoiškas, bet ir skeptiškas požiūris į pasaulį.</w:t>
            </w:r>
            <w:r w:rsidRPr="00EB751C">
              <w:rPr>
                <w:rFonts w:ascii="Arial" w:eastAsia="Times New Roman" w:hAnsi="Arial" w:cs="Arial"/>
                <w:sz w:val="24"/>
                <w:szCs w:val="24"/>
                <w:lang w:eastAsia="lt-LT"/>
              </w:rPr>
              <w:br/>
            </w:r>
            <w:r w:rsidRPr="00EB751C">
              <w:rPr>
                <w:rFonts w:ascii="Arial" w:eastAsia="Times New Roman" w:hAnsi="Arial" w:cs="Arial"/>
                <w:sz w:val="24"/>
                <w:szCs w:val="24"/>
                <w:lang w:eastAsia="lt-LT"/>
              </w:rPr>
              <w:br/>
              <w:t xml:space="preserve">       Pasakojimo, refleksijos postūmiai rinkinyje „Sankirta“ gali būti istorinė asmenybė (pvz., ispanų </w:t>
            </w:r>
            <w:proofErr w:type="spellStart"/>
            <w:r w:rsidRPr="00EB751C">
              <w:rPr>
                <w:rFonts w:ascii="Arial" w:eastAsia="Times New Roman" w:hAnsi="Arial" w:cs="Arial"/>
                <w:sz w:val="24"/>
                <w:szCs w:val="24"/>
                <w:lang w:eastAsia="lt-LT"/>
              </w:rPr>
              <w:t>konkistadoras</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Orellana</w:t>
            </w:r>
            <w:proofErr w:type="spellEnd"/>
            <w:r w:rsidRPr="00EB751C">
              <w:rPr>
                <w:rFonts w:ascii="Arial" w:eastAsia="Times New Roman" w:hAnsi="Arial" w:cs="Arial"/>
                <w:sz w:val="24"/>
                <w:szCs w:val="24"/>
                <w:lang w:eastAsia="lt-LT"/>
              </w:rPr>
              <w:t xml:space="preserve">), dailės, muzikos kūriniai (V. </w:t>
            </w:r>
            <w:proofErr w:type="spellStart"/>
            <w:r w:rsidRPr="00EB751C">
              <w:rPr>
                <w:rFonts w:ascii="Arial" w:eastAsia="Times New Roman" w:hAnsi="Arial" w:cs="Arial"/>
                <w:sz w:val="24"/>
                <w:szCs w:val="24"/>
                <w:lang w:eastAsia="lt-LT"/>
              </w:rPr>
              <w:t>van</w:t>
            </w:r>
            <w:proofErr w:type="spellEnd"/>
            <w:r w:rsidRPr="00EB751C">
              <w:rPr>
                <w:rFonts w:ascii="Arial" w:eastAsia="Times New Roman" w:hAnsi="Arial" w:cs="Arial"/>
                <w:sz w:val="24"/>
                <w:szCs w:val="24"/>
                <w:lang w:eastAsia="lt-LT"/>
              </w:rPr>
              <w:t xml:space="preserve"> </w:t>
            </w:r>
            <w:proofErr w:type="spellStart"/>
            <w:r w:rsidRPr="00EB751C">
              <w:rPr>
                <w:rFonts w:ascii="Arial" w:eastAsia="Times New Roman" w:hAnsi="Arial" w:cs="Arial"/>
                <w:sz w:val="24"/>
                <w:szCs w:val="24"/>
                <w:lang w:eastAsia="lt-LT"/>
              </w:rPr>
              <w:t>Gogh'o</w:t>
            </w:r>
            <w:proofErr w:type="spellEnd"/>
            <w:r w:rsidRPr="00EB751C">
              <w:rPr>
                <w:rFonts w:ascii="Arial" w:eastAsia="Times New Roman" w:hAnsi="Arial" w:cs="Arial"/>
                <w:sz w:val="24"/>
                <w:szCs w:val="24"/>
                <w:lang w:eastAsia="lt-LT"/>
              </w:rPr>
              <w:t xml:space="preserve"> arba P. </w:t>
            </w:r>
            <w:proofErr w:type="spellStart"/>
            <w:r w:rsidRPr="00EB751C">
              <w:rPr>
                <w:rFonts w:ascii="Arial" w:eastAsia="Times New Roman" w:hAnsi="Arial" w:cs="Arial"/>
                <w:sz w:val="24"/>
                <w:szCs w:val="24"/>
                <w:lang w:eastAsia="lt-LT"/>
              </w:rPr>
              <w:t>Brueghelio</w:t>
            </w:r>
            <w:proofErr w:type="spellEnd"/>
            <w:r w:rsidRPr="00EB751C">
              <w:rPr>
                <w:rFonts w:ascii="Arial" w:eastAsia="Times New Roman" w:hAnsi="Arial" w:cs="Arial"/>
                <w:sz w:val="24"/>
                <w:szCs w:val="24"/>
                <w:lang w:eastAsia="lt-LT"/>
              </w:rPr>
              <w:t xml:space="preserve"> paveikslai, A. Vivaldi muzika), kokie nors asmeniniai prisiminimai (tėvo, motinos, draugų likimai, kurie, beje, artėjant prie „ribos“, atrodo kur kas svarbesni nei anksčiau). Kultūros, istorijos pasiūlyti modeliai (F. </w:t>
            </w:r>
            <w:proofErr w:type="spellStart"/>
            <w:r w:rsidRPr="00EB751C">
              <w:rPr>
                <w:rFonts w:ascii="Arial" w:eastAsia="Times New Roman" w:hAnsi="Arial" w:cs="Arial"/>
                <w:sz w:val="24"/>
                <w:szCs w:val="24"/>
                <w:lang w:eastAsia="lt-LT"/>
              </w:rPr>
              <w:t>Villono</w:t>
            </w:r>
            <w:proofErr w:type="spellEnd"/>
            <w:r w:rsidRPr="00EB751C">
              <w:rPr>
                <w:rFonts w:ascii="Arial" w:eastAsia="Times New Roman" w:hAnsi="Arial" w:cs="Arial"/>
                <w:sz w:val="24"/>
                <w:szCs w:val="24"/>
                <w:lang w:eastAsia="lt-LT"/>
              </w:rPr>
              <w:t xml:space="preserve">, M. </w:t>
            </w:r>
            <w:proofErr w:type="spellStart"/>
            <w:r w:rsidRPr="00EB751C">
              <w:rPr>
                <w:rFonts w:ascii="Arial" w:eastAsia="Times New Roman" w:hAnsi="Arial" w:cs="Arial"/>
                <w:sz w:val="24"/>
                <w:szCs w:val="24"/>
                <w:lang w:eastAsia="lt-LT"/>
              </w:rPr>
              <w:t>Jacobo</w:t>
            </w:r>
            <w:proofErr w:type="spellEnd"/>
            <w:r w:rsidRPr="00EB751C">
              <w:rPr>
                <w:rFonts w:ascii="Arial" w:eastAsia="Times New Roman" w:hAnsi="Arial" w:cs="Arial"/>
                <w:sz w:val="24"/>
                <w:szCs w:val="24"/>
                <w:lang w:eastAsia="lt-LT"/>
              </w:rPr>
              <w:t xml:space="preserve">, A. Achmatovos, O. Mandelštamo, J. Brodskio, W. H. </w:t>
            </w:r>
            <w:proofErr w:type="spellStart"/>
            <w:r w:rsidRPr="00EB751C">
              <w:rPr>
                <w:rFonts w:ascii="Arial" w:eastAsia="Times New Roman" w:hAnsi="Arial" w:cs="Arial"/>
                <w:sz w:val="24"/>
                <w:szCs w:val="24"/>
                <w:lang w:eastAsia="lt-LT"/>
              </w:rPr>
              <w:t>Audeno</w:t>
            </w:r>
            <w:proofErr w:type="spellEnd"/>
            <w:r w:rsidRPr="00EB751C">
              <w:rPr>
                <w:rFonts w:ascii="Arial" w:eastAsia="Times New Roman" w:hAnsi="Arial" w:cs="Arial"/>
                <w:sz w:val="24"/>
                <w:szCs w:val="24"/>
                <w:lang w:eastAsia="lt-LT"/>
              </w:rPr>
              <w:t xml:space="preserve"> ir daugelio kitų kūryba ar pats gyvenimas, antikos pasaulio ar mitologijos realijos ir dar labai daug kas) yra tarsi tas matas, kuriuo patikrinami, įvertinami šiandieninis gyvenimas ir žmonės. Antai puotos tema eilėraštyje „Kopos </w:t>
            </w:r>
            <w:proofErr w:type="spellStart"/>
            <w:r w:rsidRPr="00EB751C">
              <w:rPr>
                <w:rFonts w:ascii="Arial" w:eastAsia="Times New Roman" w:hAnsi="Arial" w:cs="Arial"/>
                <w:sz w:val="24"/>
                <w:szCs w:val="24"/>
                <w:lang w:eastAsia="lt-LT"/>
              </w:rPr>
              <w:t>Watermill'e</w:t>
            </w:r>
            <w:proofErr w:type="spellEnd"/>
            <w:r w:rsidRPr="00EB751C">
              <w:rPr>
                <w:rFonts w:ascii="Arial" w:eastAsia="Times New Roman" w:hAnsi="Arial" w:cs="Arial"/>
                <w:sz w:val="24"/>
                <w:szCs w:val="24"/>
                <w:lang w:eastAsia="lt-LT"/>
              </w:rPr>
              <w:t>“ kuriama žiedinė kompozicija, o pabaigoje dar pabrėžta citata iš to paties pavadinimo B. Pasternako eilėraščio paryškina mitologinį mirties–atgimimo ratą. Tas savotiškas atgimimas šiuo atveju yra naujas, iš esmės kitoks gyvenimas, ištrūkus iš totalitarinio pragaro. Įskaitant kalbantįjį, aprėpti keturi tokie likimai. Štai vienas jų:</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w:t>
            </w:r>
            <w:r w:rsidRPr="00EB751C">
              <w:rPr>
                <w:rFonts w:ascii="Arial" w:eastAsia="Times New Roman" w:hAnsi="Arial" w:cs="Arial"/>
                <w:i/>
                <w:iCs/>
                <w:sz w:val="24"/>
                <w:szCs w:val="24"/>
                <w:lang w:eastAsia="lt-LT"/>
              </w:rPr>
              <w:t xml:space="preserve"> Kita</w:t>
            </w:r>
            <w:r w:rsidRPr="00EB751C">
              <w:rPr>
                <w:rFonts w:ascii="Arial" w:eastAsia="Times New Roman" w:hAnsi="Arial" w:cs="Arial"/>
                <w:i/>
                <w:iCs/>
                <w:sz w:val="24"/>
                <w:szCs w:val="24"/>
                <w:lang w:eastAsia="lt-LT"/>
              </w:rPr>
              <w:br/>
              <w:t>       dalia ištiko advokato sūnų</w:t>
            </w:r>
            <w:r w:rsidRPr="00EB751C">
              <w:rPr>
                <w:rFonts w:ascii="Arial" w:eastAsia="Times New Roman" w:hAnsi="Arial" w:cs="Arial"/>
                <w:i/>
                <w:iCs/>
                <w:sz w:val="24"/>
                <w:szCs w:val="24"/>
                <w:lang w:eastAsia="lt-LT"/>
              </w:rPr>
              <w:br/>
              <w:t>       A. S. (dabar profesorių). Jis slėpės</w:t>
            </w:r>
            <w:r w:rsidRPr="00EB751C">
              <w:rPr>
                <w:rFonts w:ascii="Arial" w:eastAsia="Times New Roman" w:hAnsi="Arial" w:cs="Arial"/>
                <w:i/>
                <w:iCs/>
                <w:sz w:val="24"/>
                <w:szCs w:val="24"/>
                <w:lang w:eastAsia="lt-LT"/>
              </w:rPr>
              <w:br/>
              <w:t>       pasienio klojime, tačiau įkliuvo</w:t>
            </w:r>
            <w:r w:rsidRPr="00EB751C">
              <w:rPr>
                <w:rFonts w:ascii="Arial" w:eastAsia="Times New Roman" w:hAnsi="Arial" w:cs="Arial"/>
                <w:i/>
                <w:iCs/>
                <w:sz w:val="24"/>
                <w:szCs w:val="24"/>
                <w:lang w:eastAsia="lt-LT"/>
              </w:rPr>
              <w:br/>
              <w:t>       (nuo tų laikų pety paliko randas –</w:t>
            </w:r>
            <w:r w:rsidRPr="00EB751C">
              <w:rPr>
                <w:rFonts w:ascii="Arial" w:eastAsia="Times New Roman" w:hAnsi="Arial" w:cs="Arial"/>
                <w:i/>
                <w:iCs/>
                <w:sz w:val="24"/>
                <w:szCs w:val="24"/>
                <w:lang w:eastAsia="lt-LT"/>
              </w:rPr>
              <w:br/>
              <w:t>       atsitiktinė durtuvo žaizda).</w:t>
            </w:r>
            <w:r w:rsidRPr="00EB751C">
              <w:rPr>
                <w:rFonts w:ascii="Arial" w:eastAsia="Times New Roman" w:hAnsi="Arial" w:cs="Arial"/>
                <w:i/>
                <w:iCs/>
                <w:sz w:val="24"/>
                <w:szCs w:val="24"/>
                <w:lang w:eastAsia="lt-LT"/>
              </w:rPr>
              <w:br/>
              <w:t>       Paskui jis vertė taigoje egles</w:t>
            </w:r>
            <w:r w:rsidRPr="00EB751C">
              <w:rPr>
                <w:rFonts w:ascii="Arial" w:eastAsia="Times New Roman" w:hAnsi="Arial" w:cs="Arial"/>
                <w:i/>
                <w:iCs/>
                <w:sz w:val="24"/>
                <w:szCs w:val="24"/>
                <w:lang w:eastAsia="lt-LT"/>
              </w:rPr>
              <w:br/>
              <w:t>       ir valė šabakštynus, tiek įvaldęs</w:t>
            </w:r>
            <w:r w:rsidRPr="00EB751C">
              <w:rPr>
                <w:rFonts w:ascii="Arial" w:eastAsia="Times New Roman" w:hAnsi="Arial" w:cs="Arial"/>
                <w:i/>
                <w:iCs/>
                <w:sz w:val="24"/>
                <w:szCs w:val="24"/>
                <w:lang w:eastAsia="lt-LT"/>
              </w:rPr>
              <w:br/>
              <w:t>       kirtėjo amatą, jog vykdė normą</w:t>
            </w:r>
            <w:r w:rsidRPr="00EB751C">
              <w:rPr>
                <w:rFonts w:ascii="Arial" w:eastAsia="Times New Roman" w:hAnsi="Arial" w:cs="Arial"/>
                <w:i/>
                <w:iCs/>
                <w:sz w:val="24"/>
                <w:szCs w:val="24"/>
                <w:lang w:eastAsia="lt-LT"/>
              </w:rPr>
              <w:br/>
              <w:t>       už du – save ir motiną, kuri</w:t>
            </w:r>
            <w:r w:rsidRPr="00EB751C">
              <w:rPr>
                <w:rFonts w:ascii="Arial" w:eastAsia="Times New Roman" w:hAnsi="Arial" w:cs="Arial"/>
                <w:i/>
                <w:iCs/>
                <w:sz w:val="24"/>
                <w:szCs w:val="24"/>
                <w:lang w:eastAsia="lt-LT"/>
              </w:rPr>
              <w:br/>
              <w:t>       nepajėgė pramokti vyrų triūso.</w:t>
            </w:r>
            <w:r w:rsidRPr="00EB751C">
              <w:rPr>
                <w:rFonts w:ascii="Arial" w:eastAsia="Times New Roman" w:hAnsi="Arial" w:cs="Arial"/>
                <w:i/>
                <w:iCs/>
                <w:sz w:val="24"/>
                <w:szCs w:val="24"/>
                <w:lang w:eastAsia="lt-LT"/>
              </w:rPr>
              <w:br/>
              <w:t>       Jie išsigavo laisvėn per Iraną,</w:t>
            </w:r>
            <w:r w:rsidRPr="00EB751C">
              <w:rPr>
                <w:rFonts w:ascii="Arial" w:eastAsia="Times New Roman" w:hAnsi="Arial" w:cs="Arial"/>
                <w:i/>
                <w:iCs/>
                <w:sz w:val="24"/>
                <w:szCs w:val="24"/>
                <w:lang w:eastAsia="lt-LT"/>
              </w:rPr>
              <w:br/>
              <w:t>       bet tai kita istorija.</w:t>
            </w:r>
          </w:p>
          <w:tbl>
            <w:tblPr>
              <w:tblW w:w="5550" w:type="dxa"/>
              <w:jc w:val="right"/>
              <w:tblCellSpacing w:w="0" w:type="dxa"/>
              <w:tblCellMar>
                <w:left w:w="0" w:type="dxa"/>
                <w:right w:w="0" w:type="dxa"/>
              </w:tblCellMar>
              <w:tblLook w:val="04A0"/>
            </w:tblPr>
            <w:tblGrid>
              <w:gridCol w:w="5550"/>
            </w:tblGrid>
            <w:tr w:rsidR="00EB751C" w:rsidRPr="00EB751C">
              <w:trPr>
                <w:tblCellSpacing w:w="0" w:type="dxa"/>
                <w:jc w:val="right"/>
              </w:trPr>
              <w:tc>
                <w:tcPr>
                  <w:tcW w:w="0" w:type="auto"/>
                  <w:vAlign w:val="center"/>
                  <w:hideMark/>
                </w:tcPr>
                <w:p w:rsidR="00EB751C" w:rsidRPr="00EB751C" w:rsidRDefault="00EB751C" w:rsidP="00EB751C">
                  <w:pPr>
                    <w:spacing w:after="0" w:line="240" w:lineRule="auto"/>
                    <w:rPr>
                      <w:rFonts w:ascii="Arial" w:eastAsia="Times New Roman" w:hAnsi="Arial" w:cs="Arial"/>
                      <w:sz w:val="24"/>
                      <w:szCs w:val="24"/>
                      <w:lang w:eastAsia="lt-LT"/>
                    </w:rPr>
                  </w:pPr>
                  <w:r w:rsidRPr="00EB751C">
                    <w:rPr>
                      <w:rFonts w:ascii="Arial" w:eastAsia="Times New Roman" w:hAnsi="Arial" w:cs="Arial"/>
                      <w:sz w:val="24"/>
                      <w:szCs w:val="24"/>
                      <w:lang w:eastAsia="lt-LT"/>
                    </w:rPr>
                    <w:t>(p. 15–16)</w:t>
                  </w:r>
                </w:p>
              </w:tc>
            </w:tr>
          </w:tbl>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w:t>
            </w:r>
            <w:r w:rsidRPr="00EB751C">
              <w:rPr>
                <w:rFonts w:ascii="Arial" w:eastAsia="Times New Roman" w:hAnsi="Arial" w:cs="Arial"/>
                <w:sz w:val="24"/>
                <w:szCs w:val="24"/>
                <w:lang w:eastAsia="lt-LT"/>
              </w:rPr>
              <w:br/>
              <w:t xml:space="preserve">       </w:t>
            </w:r>
            <w:proofErr w:type="spellStart"/>
            <w:r w:rsidRPr="00EB751C">
              <w:rPr>
                <w:rFonts w:ascii="Arial" w:eastAsia="Times New Roman" w:hAnsi="Arial" w:cs="Arial"/>
                <w:sz w:val="24"/>
                <w:szCs w:val="24"/>
                <w:lang w:eastAsia="lt-LT"/>
              </w:rPr>
              <w:t>Watermillis</w:t>
            </w:r>
            <w:proofErr w:type="spellEnd"/>
            <w:r w:rsidRPr="00EB751C">
              <w:rPr>
                <w:rFonts w:ascii="Arial" w:eastAsia="Times New Roman" w:hAnsi="Arial" w:cs="Arial"/>
                <w:sz w:val="24"/>
                <w:szCs w:val="24"/>
                <w:lang w:eastAsia="lt-LT"/>
              </w:rPr>
              <w:t xml:space="preserve">, kurio knygynėlyje visi likimai matomi, atrodo tarsi idiliška </w:t>
            </w:r>
            <w:proofErr w:type="spellStart"/>
            <w:r w:rsidRPr="00EB751C">
              <w:rPr>
                <w:rFonts w:ascii="Arial" w:eastAsia="Times New Roman" w:hAnsi="Arial" w:cs="Arial"/>
                <w:sz w:val="24"/>
                <w:szCs w:val="24"/>
                <w:lang w:eastAsia="lt-LT"/>
              </w:rPr>
              <w:t>lotofagų</w:t>
            </w:r>
            <w:proofErr w:type="spellEnd"/>
            <w:r w:rsidRPr="00EB751C">
              <w:rPr>
                <w:rFonts w:ascii="Arial" w:eastAsia="Times New Roman" w:hAnsi="Arial" w:cs="Arial"/>
                <w:sz w:val="24"/>
                <w:szCs w:val="24"/>
                <w:lang w:eastAsia="lt-LT"/>
              </w:rPr>
              <w:t xml:space="preserve"> žemė, tačiau planeta yra pasidariusi pernelyg maža, todėl idilę sudrumsčia „laikraštis ant vėstančios vejos / su nuotraukomis iš Balkanų fronto“. T. Venclovos poezijoje tikros idilės beveik nebūna, nebent sąlygiškai – „Pastoralėje“, kur ją suponuoja jau pats pavadinimu nusakytas žanras: „Jis klausosi, kaip ritasi vėsa / nuo papartyno į lelijos dagtį, / kaip </w:t>
            </w:r>
            <w:r w:rsidRPr="00EB751C">
              <w:rPr>
                <w:rFonts w:ascii="Arial" w:eastAsia="Times New Roman" w:hAnsi="Arial" w:cs="Arial"/>
                <w:sz w:val="24"/>
                <w:szCs w:val="24"/>
                <w:lang w:eastAsia="lt-LT"/>
              </w:rPr>
              <w:lastRenderedPageBreak/>
              <w:t xml:space="preserve">atvirkščiu kraštovaizdžiu šviesa / lėtai </w:t>
            </w:r>
            <w:proofErr w:type="spellStart"/>
            <w:r w:rsidRPr="00EB751C">
              <w:rPr>
                <w:rFonts w:ascii="Arial" w:eastAsia="Times New Roman" w:hAnsi="Arial" w:cs="Arial"/>
                <w:sz w:val="24"/>
                <w:szCs w:val="24"/>
                <w:lang w:eastAsia="lt-LT"/>
              </w:rPr>
              <w:t>teškena</w:t>
            </w:r>
            <w:proofErr w:type="spellEnd"/>
            <w:r w:rsidRPr="00EB751C">
              <w:rPr>
                <w:rFonts w:ascii="Arial" w:eastAsia="Times New Roman" w:hAnsi="Arial" w:cs="Arial"/>
                <w:sz w:val="24"/>
                <w:szCs w:val="24"/>
                <w:lang w:eastAsia="lt-LT"/>
              </w:rPr>
              <w:t xml:space="preserve">, panaši į naktį“ (p. 5). Tačiau tai tik fragmentas. Ir šiame eilėraštyje „murzinas kanalas“, „neišgiedrėjęs dangus“ ir ypač „stabtelinti širdis“ liudija anaiptol ne idealizuotą ar nekonfliktišką santykį su realybe. Jaukesnis poetui Vilnius (eil. „Užupis“), bet jo upelė „panaši į </w:t>
            </w:r>
            <w:proofErr w:type="spellStart"/>
            <w:r w:rsidRPr="00EB751C">
              <w:rPr>
                <w:rFonts w:ascii="Arial" w:eastAsia="Times New Roman" w:hAnsi="Arial" w:cs="Arial"/>
                <w:sz w:val="24"/>
                <w:szCs w:val="24"/>
                <w:lang w:eastAsia="lt-LT"/>
              </w:rPr>
              <w:t>Tibrą</w:t>
            </w:r>
            <w:proofErr w:type="spellEnd"/>
            <w:r w:rsidRPr="00EB751C">
              <w:rPr>
                <w:rFonts w:ascii="Arial" w:eastAsia="Times New Roman" w:hAnsi="Arial" w:cs="Arial"/>
                <w:sz w:val="24"/>
                <w:szCs w:val="24"/>
                <w:lang w:eastAsia="lt-LT"/>
              </w:rPr>
              <w:t xml:space="preserve">“, ir jis T. Venclovai seniai yra vienas „amžinųjų“ miestų. Dar sovietinėje Lietuvoje smerktas (vėliau tai įvairiai varijuojant ne kartą kartota) dėl tariamo savo tekstų </w:t>
            </w:r>
            <w:proofErr w:type="spellStart"/>
            <w:r w:rsidRPr="00EB751C">
              <w:rPr>
                <w:rFonts w:ascii="Arial" w:eastAsia="Times New Roman" w:hAnsi="Arial" w:cs="Arial"/>
                <w:sz w:val="24"/>
                <w:szCs w:val="24"/>
                <w:lang w:eastAsia="lt-LT"/>
              </w:rPr>
              <w:t>hermetiškumo</w:t>
            </w:r>
            <w:proofErr w:type="spellEnd"/>
            <w:r w:rsidRPr="00EB751C">
              <w:rPr>
                <w:rFonts w:ascii="Arial" w:eastAsia="Times New Roman" w:hAnsi="Arial" w:cs="Arial"/>
                <w:sz w:val="24"/>
                <w:szCs w:val="24"/>
                <w:lang w:eastAsia="lt-LT"/>
              </w:rPr>
              <w:t>, visiško atitrūkimo nuo tikrovės, T. Venclova ir tada buvo, ir dabar išlieka nepaprastai pilietiškas, visuomeniškas pačia savo poezijos esme. Daugumoje rinkinio eilėraščių šiuolaikinio pasaulio pulsavimas labai gerai jaučiamas: kariaujantys Balkanai, mūsų pačių „sutvertas“ jaunuolis, būsimas teroristas, gyvenimas tardymo izoliatoriuje, apskritai visas „istorijos purvas“. Poeto žvilgsnis suinteresuotas ir kritiškas.</w:t>
            </w:r>
            <w:r w:rsidRPr="00EB751C">
              <w:rPr>
                <w:rFonts w:ascii="Arial" w:eastAsia="Times New Roman" w:hAnsi="Arial" w:cs="Arial"/>
                <w:sz w:val="24"/>
                <w:szCs w:val="24"/>
                <w:lang w:eastAsia="lt-LT"/>
              </w:rPr>
              <w:br/>
              <w:t>       Naujam rinkiniui tebegalioja jau seniai J. Brodskio pasakyti žodžiai, kad „Venclova – šiaurės poetas, gimęs ir užaugęs Baltijos pajūryje, jo peizažas monochrominis, vyrauja pilkos ir niūrios spalvos, taigi tiesiog šviesa iš viršaus, sutirštėjusi iki tamsumos“. Spalvos iš tiesų niūrios, realybė dažnai atrodo purvina, murzina, ledinė, griūvanti; pasaulio nejaukumas, kartais istorinė neteisybė perteikiama susijusiais su rega, kalbėjimu vaizdais: „Debesys, drėgnas granitas, pilkas vandens gomurys“, „tikrovė, kur apkursta telefonas, / melu ir plėnim springsta ateitis“, „Dygus akiračio lankas, primerktos aštrios žaliuzės. / Lašas išdidina vyzdį, gomurį teršia drumzlės“ ir pan. Įsimena metafizinio nejaukumo vaizdas eilėraštyje „Koncertas amžiaus pabaigoje“ :</w:t>
            </w:r>
          </w:p>
          <w:p w:rsidR="00EB751C" w:rsidRPr="00EB751C" w:rsidRDefault="00EB751C" w:rsidP="00EB751C">
            <w:pPr>
              <w:spacing w:after="24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i/>
                <w:iCs/>
                <w:sz w:val="24"/>
                <w:szCs w:val="24"/>
                <w:lang w:eastAsia="lt-LT"/>
              </w:rPr>
              <w:t>Kas negalėjo įvykti – įvyko, bet Dievas</w:t>
            </w:r>
            <w:r w:rsidRPr="00EB751C">
              <w:rPr>
                <w:rFonts w:ascii="Arial" w:eastAsia="Times New Roman" w:hAnsi="Arial" w:cs="Arial"/>
                <w:i/>
                <w:iCs/>
                <w:sz w:val="24"/>
                <w:szCs w:val="24"/>
                <w:lang w:eastAsia="lt-LT"/>
              </w:rPr>
              <w:br/>
              <w:t>       tebekalba pusbalsiu. Virš nesvetingos visatos,</w:t>
            </w:r>
            <w:r w:rsidRPr="00EB751C">
              <w:rPr>
                <w:rFonts w:ascii="Arial" w:eastAsia="Times New Roman" w:hAnsi="Arial" w:cs="Arial"/>
                <w:i/>
                <w:iCs/>
                <w:sz w:val="24"/>
                <w:szCs w:val="24"/>
                <w:lang w:eastAsia="lt-LT"/>
              </w:rPr>
              <w:br/>
              <w:t xml:space="preserve">       kur </w:t>
            </w:r>
            <w:proofErr w:type="spellStart"/>
            <w:r w:rsidRPr="00EB751C">
              <w:rPr>
                <w:rFonts w:ascii="Arial" w:eastAsia="Times New Roman" w:hAnsi="Arial" w:cs="Arial"/>
                <w:i/>
                <w:iCs/>
                <w:sz w:val="24"/>
                <w:szCs w:val="24"/>
                <w:lang w:eastAsia="lt-LT"/>
              </w:rPr>
              <w:t>Dantės</w:t>
            </w:r>
            <w:proofErr w:type="spellEnd"/>
            <w:r w:rsidRPr="00EB751C">
              <w:rPr>
                <w:rFonts w:ascii="Arial" w:eastAsia="Times New Roman" w:hAnsi="Arial" w:cs="Arial"/>
                <w:i/>
                <w:iCs/>
                <w:sz w:val="24"/>
                <w:szCs w:val="24"/>
                <w:lang w:eastAsia="lt-LT"/>
              </w:rPr>
              <w:t xml:space="preserve"> orbitos juoduoja it nukirsto ąžuolo rievės</w:t>
            </w:r>
            <w:r w:rsidRPr="00EB751C">
              <w:rPr>
                <w:rFonts w:ascii="Arial" w:eastAsia="Times New Roman" w:hAnsi="Arial" w:cs="Arial"/>
                <w:i/>
                <w:iCs/>
                <w:sz w:val="24"/>
                <w:szCs w:val="24"/>
                <w:lang w:eastAsia="lt-LT"/>
              </w:rPr>
              <w:br/>
              <w:t>       ir eterį ardo skvarbus tarpplanetinis</w:t>
            </w:r>
            <w:r w:rsidRPr="00EB751C">
              <w:rPr>
                <w:rFonts w:ascii="Arial" w:eastAsia="Times New Roman" w:hAnsi="Arial" w:cs="Arial"/>
                <w:i/>
                <w:iCs/>
                <w:sz w:val="24"/>
                <w:szCs w:val="24"/>
                <w:lang w:eastAsia="lt-LT"/>
              </w:rPr>
              <w:br/>
              <w:t>                                                     vėjas,</w:t>
            </w:r>
            <w:r w:rsidRPr="00EB751C">
              <w:rPr>
                <w:rFonts w:ascii="Arial" w:eastAsia="Times New Roman" w:hAnsi="Arial" w:cs="Arial"/>
                <w:i/>
                <w:iCs/>
                <w:sz w:val="24"/>
                <w:szCs w:val="24"/>
                <w:lang w:eastAsia="lt-LT"/>
              </w:rPr>
              <w:br/>
              <w:t>       galaktikų speigas, grėsmingai pasviręs</w:t>
            </w:r>
            <w:r w:rsidRPr="00EB751C">
              <w:rPr>
                <w:rFonts w:ascii="Arial" w:eastAsia="Times New Roman" w:hAnsi="Arial" w:cs="Arial"/>
                <w:i/>
                <w:iCs/>
                <w:sz w:val="24"/>
                <w:szCs w:val="24"/>
                <w:lang w:eastAsia="lt-LT"/>
              </w:rPr>
              <w:br/>
              <w:t>       į Grįžulo įdubą, virsta gausmu.</w:t>
            </w:r>
          </w:p>
          <w:tbl>
            <w:tblPr>
              <w:tblW w:w="5550" w:type="dxa"/>
              <w:jc w:val="right"/>
              <w:tblCellSpacing w:w="0" w:type="dxa"/>
              <w:tblCellMar>
                <w:left w:w="0" w:type="dxa"/>
                <w:right w:w="0" w:type="dxa"/>
              </w:tblCellMar>
              <w:tblLook w:val="04A0"/>
            </w:tblPr>
            <w:tblGrid>
              <w:gridCol w:w="5550"/>
            </w:tblGrid>
            <w:tr w:rsidR="00EB751C" w:rsidRPr="00EB751C">
              <w:trPr>
                <w:tblCellSpacing w:w="0" w:type="dxa"/>
                <w:jc w:val="right"/>
              </w:trPr>
              <w:tc>
                <w:tcPr>
                  <w:tcW w:w="0" w:type="auto"/>
                  <w:vAlign w:val="center"/>
                  <w:hideMark/>
                </w:tcPr>
                <w:p w:rsidR="00EB751C" w:rsidRPr="00EB751C" w:rsidRDefault="00EB751C" w:rsidP="00EB751C">
                  <w:pPr>
                    <w:spacing w:after="0" w:line="240" w:lineRule="auto"/>
                    <w:rPr>
                      <w:rFonts w:ascii="Arial" w:eastAsia="Times New Roman" w:hAnsi="Arial" w:cs="Arial"/>
                      <w:sz w:val="24"/>
                      <w:szCs w:val="24"/>
                      <w:lang w:eastAsia="lt-LT"/>
                    </w:rPr>
                  </w:pPr>
                  <w:r w:rsidRPr="00EB751C">
                    <w:rPr>
                      <w:rFonts w:ascii="Arial" w:eastAsia="Times New Roman" w:hAnsi="Arial" w:cs="Arial"/>
                      <w:sz w:val="24"/>
                      <w:szCs w:val="24"/>
                      <w:lang w:eastAsia="lt-LT"/>
                    </w:rPr>
                    <w:t>(p. 9)</w:t>
                  </w:r>
                </w:p>
              </w:tc>
            </w:tr>
          </w:tbl>
          <w:p w:rsidR="00EB751C" w:rsidRPr="00EB751C" w:rsidRDefault="00EB751C" w:rsidP="00EB751C">
            <w:pPr>
              <w:spacing w:after="0" w:line="240" w:lineRule="auto"/>
              <w:rPr>
                <w:rFonts w:ascii="Arial" w:eastAsia="Times New Roman" w:hAnsi="Arial" w:cs="Arial"/>
                <w:sz w:val="18"/>
                <w:szCs w:val="18"/>
                <w:lang w:eastAsia="lt-LT"/>
              </w:rPr>
            </w:pPr>
            <w:r w:rsidRPr="00EB751C">
              <w:rPr>
                <w:rFonts w:ascii="Arial" w:eastAsia="Times New Roman" w:hAnsi="Arial" w:cs="Arial"/>
                <w:sz w:val="24"/>
                <w:szCs w:val="24"/>
                <w:lang w:eastAsia="lt-LT"/>
              </w:rPr>
              <w:t xml:space="preserve">       </w:t>
            </w:r>
            <w:r w:rsidRPr="00EB751C">
              <w:rPr>
                <w:rFonts w:ascii="Arial" w:eastAsia="Times New Roman" w:hAnsi="Arial" w:cs="Arial"/>
                <w:sz w:val="24"/>
                <w:szCs w:val="24"/>
                <w:lang w:eastAsia="lt-LT"/>
              </w:rPr>
              <w:br/>
              <w:t>       Žmogus gali, perfrazuojant ką tik cituoto eilėraščio vaizdus, bandyti perskaityti „Viešpaties ženklus“, nes „Dievas tebekalba pusbalsiu“. Kaip tik tokio ramaus, mąstančio susikaupimo, o ne iliuzinės paguodos pavyzdį T. Venclovos knyga ir liudija. „Eilės vertos daugiau nei sapnas“, – teigiama viename rinkinio eilėraštyje.</w:t>
            </w:r>
            <w:r w:rsidRPr="00EB751C">
              <w:rPr>
                <w:rFonts w:ascii="Arial" w:eastAsia="Times New Roman" w:hAnsi="Arial" w:cs="Arial"/>
                <w:sz w:val="24"/>
                <w:szCs w:val="24"/>
                <w:lang w:eastAsia="lt-LT"/>
              </w:rPr>
              <w:br/>
            </w:r>
            <w:r w:rsidRPr="00EB751C">
              <w:rPr>
                <w:rFonts w:ascii="Arial" w:eastAsia="Times New Roman" w:hAnsi="Arial" w:cs="Arial"/>
                <w:b/>
                <w:bCs/>
                <w:sz w:val="24"/>
                <w:szCs w:val="24"/>
                <w:lang w:eastAsia="lt-LT"/>
              </w:rPr>
              <w:br/>
              <w:t>       Metai, 2005 Nr. 10</w:t>
            </w:r>
          </w:p>
        </w:tc>
      </w:tr>
    </w:tbl>
    <w:p w:rsidR="00042BF4" w:rsidRDefault="00042BF4"/>
    <w:sectPr w:rsidR="00042BF4" w:rsidSect="00042BF4">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EB751C"/>
    <w:rsid w:val="00042BF4"/>
    <w:rsid w:val="00EB751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42BF4"/>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EB751C"/>
    <w:pPr>
      <w:spacing w:after="0"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EB751C"/>
    <w:rPr>
      <w:b/>
      <w:bCs/>
    </w:rPr>
  </w:style>
  <w:style w:type="paragraph" w:styleId="Debesliotekstas">
    <w:name w:val="Balloon Text"/>
    <w:basedOn w:val="prastasis"/>
    <w:link w:val="DebesliotekstasDiagrama"/>
    <w:uiPriority w:val="99"/>
    <w:semiHidden/>
    <w:unhideWhenUsed/>
    <w:rsid w:val="00EB751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B75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50805256">
      <w:bodyDiv w:val="1"/>
      <w:marLeft w:val="0"/>
      <w:marRight w:val="0"/>
      <w:marTop w:val="0"/>
      <w:marBottom w:val="0"/>
      <w:divBdr>
        <w:top w:val="none" w:sz="0" w:space="0" w:color="auto"/>
        <w:left w:val="none" w:sz="0" w:space="0" w:color="auto"/>
        <w:bottom w:val="none" w:sz="0" w:space="0" w:color="auto"/>
        <w:right w:val="none" w:sz="0" w:space="0" w:color="auto"/>
      </w:divBdr>
      <w:divsChild>
        <w:div w:id="840851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tekstai.lt/images/stories/reklama/venclova%20sankirta.jp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7440</Words>
  <Characters>4242</Characters>
  <Application>Microsoft Office Word</Application>
  <DocSecurity>0</DocSecurity>
  <Lines>35</Lines>
  <Paragraphs>23</Paragraphs>
  <ScaleCrop>false</ScaleCrop>
  <Company/>
  <LinksUpToDate>false</LinksUpToDate>
  <CharactersWithSpaces>11659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2010-05-09T16:15:00Z</dcterms:created>
  <dcterms:modified xsi:type="dcterms:W3CDTF">2010-05-09T16:15:00Z</dcterms:modified>
</cp:coreProperties>
</file>