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left w:w="0" w:type="dxa"/>
          <w:right w:w="0" w:type="dxa"/>
        </w:tblCellMar>
        <w:tblLook w:val="04A0"/>
      </w:tblPr>
      <w:tblGrid>
        <w:gridCol w:w="9113"/>
        <w:gridCol w:w="270"/>
        <w:gridCol w:w="315"/>
      </w:tblGrid>
      <w:tr w:rsidR="00BA54C2" w:rsidRPr="00BA54C2" w:rsidTr="00BA54C2">
        <w:trPr>
          <w:tblCellSpacing w:w="15" w:type="dxa"/>
        </w:trPr>
        <w:tc>
          <w:tcPr>
            <w:tcW w:w="5000" w:type="pct"/>
            <w:tcMar>
              <w:top w:w="150" w:type="dxa"/>
              <w:left w:w="0" w:type="dxa"/>
              <w:bottom w:w="0" w:type="dxa"/>
              <w:right w:w="0" w:type="dxa"/>
            </w:tcMar>
            <w:vAlign w:val="center"/>
            <w:hideMark/>
          </w:tcPr>
          <w:p w:rsidR="00BA54C2" w:rsidRPr="00BA54C2" w:rsidRDefault="00BA54C2" w:rsidP="00BA54C2">
            <w:pPr>
              <w:spacing w:after="0" w:line="240" w:lineRule="auto"/>
              <w:jc w:val="center"/>
              <w:rPr>
                <w:rFonts w:ascii="Arial" w:eastAsia="Times New Roman" w:hAnsi="Arial" w:cs="Arial"/>
                <w:b/>
                <w:bCs/>
                <w:sz w:val="24"/>
                <w:szCs w:val="24"/>
                <w:lang w:eastAsia="lt-LT"/>
              </w:rPr>
            </w:pPr>
            <w:r w:rsidRPr="00BA54C2">
              <w:rPr>
                <w:rFonts w:ascii="Arial" w:eastAsia="Times New Roman" w:hAnsi="Arial" w:cs="Arial"/>
                <w:b/>
                <w:bCs/>
                <w:sz w:val="24"/>
                <w:szCs w:val="24"/>
                <w:lang w:eastAsia="lt-LT"/>
              </w:rPr>
              <w:t xml:space="preserve">Dalia </w:t>
            </w:r>
            <w:proofErr w:type="spellStart"/>
            <w:r w:rsidRPr="00BA54C2">
              <w:rPr>
                <w:rFonts w:ascii="Arial" w:eastAsia="Times New Roman" w:hAnsi="Arial" w:cs="Arial"/>
                <w:b/>
                <w:bCs/>
                <w:sz w:val="24"/>
                <w:szCs w:val="24"/>
                <w:lang w:eastAsia="lt-LT"/>
              </w:rPr>
              <w:t>Jakaitė</w:t>
            </w:r>
            <w:proofErr w:type="spellEnd"/>
            <w:r w:rsidRPr="00BA54C2">
              <w:rPr>
                <w:rFonts w:ascii="Arial" w:eastAsia="Times New Roman" w:hAnsi="Arial" w:cs="Arial"/>
                <w:b/>
                <w:bCs/>
                <w:sz w:val="24"/>
                <w:szCs w:val="24"/>
                <w:lang w:eastAsia="lt-LT"/>
              </w:rPr>
              <w:t xml:space="preserve">. Istorinės savimonės raiška naujausioje 30-50-ųjų kartos prozoje (2003) </w:t>
            </w:r>
          </w:p>
        </w:tc>
        <w:tc>
          <w:tcPr>
            <w:tcW w:w="5000" w:type="pct"/>
            <w:vAlign w:val="center"/>
            <w:hideMark/>
          </w:tcPr>
          <w:p w:rsidR="00BA54C2" w:rsidRPr="00BA54C2" w:rsidRDefault="00BA54C2" w:rsidP="00BA54C2">
            <w:pPr>
              <w:spacing w:after="0" w:line="240" w:lineRule="auto"/>
              <w:jc w:val="right"/>
              <w:rPr>
                <w:rFonts w:ascii="Arial" w:eastAsia="Times New Roman" w:hAnsi="Arial" w:cs="Arial"/>
                <w:sz w:val="18"/>
                <w:szCs w:val="18"/>
                <w:lang w:eastAsia="lt-LT"/>
              </w:rPr>
            </w:pPr>
            <w:r>
              <w:rPr>
                <w:rFonts w:ascii="Arial" w:eastAsia="Times New Roman" w:hAnsi="Arial" w:cs="Arial"/>
                <w:noProof/>
                <w:color w:val="000000"/>
                <w:sz w:val="18"/>
                <w:szCs w:val="18"/>
                <w:lang w:eastAsia="lt-LT"/>
              </w:rPr>
              <w:drawing>
                <wp:inline distT="0" distB="0" distL="0" distR="0">
                  <wp:extent cx="152400" cy="152400"/>
                  <wp:effectExtent l="0" t="0" r="0" b="0"/>
                  <wp:docPr id="1" name="Paveikslėlis 1" descr="Spausdinti">
                    <a:hlinkClick xmlns:a="http://schemas.openxmlformats.org/drawingml/2006/main" r:id="rId4" tooltip="Spausdinti"/>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ausdinti">
                            <a:hlinkClick r:id="rId4" tooltip="Spausdinti"/>
                          </pic:cNvPr>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c>
          <w:tcPr>
            <w:tcW w:w="5000" w:type="pct"/>
            <w:vAlign w:val="center"/>
            <w:hideMark/>
          </w:tcPr>
          <w:p w:rsidR="00BA54C2" w:rsidRPr="00BA54C2" w:rsidRDefault="00BA54C2" w:rsidP="00BA54C2">
            <w:pPr>
              <w:spacing w:after="0" w:line="240" w:lineRule="auto"/>
              <w:jc w:val="right"/>
              <w:rPr>
                <w:rFonts w:ascii="Arial" w:eastAsia="Times New Roman" w:hAnsi="Arial" w:cs="Arial"/>
                <w:sz w:val="18"/>
                <w:szCs w:val="18"/>
                <w:lang w:eastAsia="lt-LT"/>
              </w:rPr>
            </w:pPr>
            <w:r>
              <w:rPr>
                <w:rFonts w:ascii="Arial" w:eastAsia="Times New Roman" w:hAnsi="Arial" w:cs="Arial"/>
                <w:noProof/>
                <w:color w:val="000000"/>
                <w:sz w:val="18"/>
                <w:szCs w:val="18"/>
                <w:lang w:eastAsia="lt-LT"/>
              </w:rPr>
              <w:drawing>
                <wp:inline distT="0" distB="0" distL="0" distR="0">
                  <wp:extent cx="152400" cy="152400"/>
                  <wp:effectExtent l="19050" t="0" r="0" b="0"/>
                  <wp:docPr id="2" name="Paveikslėlis 2" descr="Email">
                    <a:hlinkClick xmlns:a="http://schemas.openxmlformats.org/drawingml/2006/main" r:id="rId6" tooltip="Emai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ail">
                            <a:hlinkClick r:id="rId6" tooltip="Email"/>
                          </pic:cNvPr>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BA54C2" w:rsidRPr="00BA54C2" w:rsidRDefault="00BA54C2" w:rsidP="00BA54C2">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left w:w="0" w:type="dxa"/>
          <w:right w:w="0" w:type="dxa"/>
        </w:tblCellMar>
        <w:tblLook w:val="04A0"/>
      </w:tblPr>
      <w:tblGrid>
        <w:gridCol w:w="9698"/>
      </w:tblGrid>
      <w:tr w:rsidR="00BA54C2" w:rsidRPr="00BA54C2" w:rsidTr="00BA54C2">
        <w:trPr>
          <w:tblCellSpacing w:w="15" w:type="dxa"/>
        </w:trPr>
        <w:tc>
          <w:tcPr>
            <w:tcW w:w="0" w:type="auto"/>
            <w:hideMark/>
          </w:tcPr>
          <w:p w:rsidR="00BA54C2" w:rsidRPr="00BA54C2" w:rsidRDefault="00BA54C2" w:rsidP="00BA54C2">
            <w:pPr>
              <w:spacing w:after="0" w:line="240" w:lineRule="auto"/>
              <w:rPr>
                <w:rFonts w:ascii="Arial" w:eastAsia="Times New Roman" w:hAnsi="Arial" w:cs="Arial"/>
                <w:color w:val="000000"/>
                <w:sz w:val="18"/>
                <w:szCs w:val="18"/>
                <w:u w:val="single"/>
                <w:lang w:eastAsia="lt-LT"/>
              </w:rPr>
            </w:pP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fldChar w:fldCharType="begin"/>
            </w:r>
            <w:r w:rsidRPr="00BA54C2">
              <w:rPr>
                <w:rFonts w:ascii="Arial" w:eastAsia="Times New Roman" w:hAnsi="Arial" w:cs="Arial"/>
                <w:sz w:val="18"/>
                <w:szCs w:val="18"/>
                <w:lang w:eastAsia="lt-LT"/>
              </w:rPr>
              <w:instrText xml:space="preserve"> HYPERLINK "http://www.tekstai.lt/images/stories/reklama/dalia%20jakaite.jpg" </w:instrText>
            </w:r>
            <w:r w:rsidRPr="00BA54C2">
              <w:rPr>
                <w:rFonts w:ascii="Arial" w:eastAsia="Times New Roman" w:hAnsi="Arial" w:cs="Arial"/>
                <w:sz w:val="18"/>
                <w:szCs w:val="18"/>
                <w:lang w:eastAsia="lt-LT"/>
              </w:rPr>
              <w:fldChar w:fldCharType="separate"/>
            </w:r>
          </w:p>
          <w:p w:rsidR="00BA54C2" w:rsidRPr="00BA54C2" w:rsidRDefault="00BA54C2" w:rsidP="00BA54C2">
            <w:pPr>
              <w:spacing w:after="0" w:line="240" w:lineRule="auto"/>
              <w:jc w:val="center"/>
              <w:rPr>
                <w:rFonts w:ascii="Arial" w:eastAsia="Times New Roman" w:hAnsi="Arial" w:cs="Arial"/>
                <w:sz w:val="18"/>
                <w:szCs w:val="18"/>
                <w:lang w:eastAsia="lt-LT"/>
              </w:rPr>
            </w:pPr>
            <w:r>
              <w:rPr>
                <w:rFonts w:ascii="Arial" w:eastAsia="Times New Roman" w:hAnsi="Arial" w:cs="Arial"/>
                <w:noProof/>
                <w:sz w:val="18"/>
                <w:szCs w:val="18"/>
                <w:lang w:eastAsia="lt-LT"/>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90600" cy="1190625"/>
                  <wp:effectExtent l="19050" t="0" r="0" b="0"/>
                  <wp:wrapSquare wrapText="bothSides"/>
                  <wp:docPr id="3" name="Paveikslėlis 2" descr="http://www.tekstai.lt/plugins/content/mavikthumbnails/thumbnails/104x125-images-stories-reklama-dalia-jakaite.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kstai.lt/plugins/content/mavikthumbnails/thumbnails/104x125-images-stories-reklama-dalia-jakaite.jpg">
                            <a:hlinkClick r:id="rId8"/>
                          </pic:cNvPr>
                          <pic:cNvPicPr>
                            <a:picLocks noChangeAspect="1" noChangeArrowheads="1"/>
                          </pic:cNvPicPr>
                        </pic:nvPicPr>
                        <pic:blipFill>
                          <a:blip r:embed="rId9" cstate="print"/>
                          <a:srcRect/>
                          <a:stretch>
                            <a:fillRect/>
                          </a:stretch>
                        </pic:blipFill>
                        <pic:spPr bwMode="auto">
                          <a:xfrm>
                            <a:off x="0" y="0"/>
                            <a:ext cx="990600" cy="1190625"/>
                          </a:xfrm>
                          <a:prstGeom prst="rect">
                            <a:avLst/>
                          </a:prstGeom>
                          <a:noFill/>
                          <a:ln w="9525">
                            <a:noFill/>
                            <a:miter lim="800000"/>
                            <a:headEnd/>
                            <a:tailEnd/>
                          </a:ln>
                        </pic:spPr>
                      </pic:pic>
                    </a:graphicData>
                  </a:graphic>
                </wp:anchor>
              </w:drawing>
            </w:r>
            <w:r w:rsidRPr="00BA54C2">
              <w:rPr>
                <w:rFonts w:ascii="Arial" w:eastAsia="Times New Roman" w:hAnsi="Arial" w:cs="Arial"/>
                <w:sz w:val="18"/>
                <w:szCs w:val="18"/>
                <w:lang w:eastAsia="lt-LT"/>
              </w:rPr>
              <w:fldChar w:fldCharType="end"/>
            </w:r>
            <w:r w:rsidRPr="00BA54C2">
              <w:rPr>
                <w:rFonts w:ascii="Arial" w:eastAsia="Times New Roman" w:hAnsi="Arial" w:cs="Arial"/>
                <w:sz w:val="18"/>
                <w:szCs w:val="18"/>
                <w:lang w:eastAsia="lt-LT"/>
              </w:rPr>
              <w:t>        Literatūrinę tradiciją (mokyklą) turinčioje B. Radzevičiaus, V. Ramono prozoje plėtojama egzistencializmui artima pažinimo problematika, “aš” ir pasaulio opozicijos, vienatvės, būties-myriop ir kiti leitmotyvai, transcendentinio ir konkretaus istorinio laiko įtampa, kita problematika. Devintojo ir dešimtojo dešimtmečių sandūros prozoje išryškėjo istorinės savimonės atsinaujinimas (Lietuvos istorija nebebuvo kitų istorijų paraštėje). Istorinės prozos suklestėjimo metais laikomi maždaug 1986–</w:t>
            </w:r>
            <w:proofErr w:type="spellStart"/>
            <w:r w:rsidRPr="00BA54C2">
              <w:rPr>
                <w:rFonts w:ascii="Arial" w:eastAsia="Times New Roman" w:hAnsi="Arial" w:cs="Arial"/>
                <w:sz w:val="18"/>
                <w:szCs w:val="18"/>
                <w:lang w:eastAsia="lt-LT"/>
              </w:rPr>
              <w:t>ieji</w:t>
            </w:r>
            <w:proofErr w:type="spellEnd"/>
            <w:r w:rsidRPr="00BA54C2">
              <w:rPr>
                <w:rFonts w:ascii="Arial" w:eastAsia="Times New Roman" w:hAnsi="Arial" w:cs="Arial"/>
                <w:sz w:val="18"/>
                <w:szCs w:val="18"/>
                <w:lang w:eastAsia="lt-LT"/>
              </w:rPr>
              <w:t xml:space="preserve"> – R. Granausko apysakos “Gyvenimas po klevu” pasirodymo metai. Estetiškai įtaigi, mitiniu mąstymu pagrįsta istorinės savimonės raiška skleidžiasi dar apysakoje “Jaučio aukojime”. Apsakymų knygoje “Gyvulėlių dainavimas” kūrybiškai jungiasi modernus laiko traktavimas ir </w:t>
            </w:r>
            <w:proofErr w:type="spellStart"/>
            <w:r w:rsidRPr="00BA54C2">
              <w:rPr>
                <w:rFonts w:ascii="Arial" w:eastAsia="Times New Roman" w:hAnsi="Arial" w:cs="Arial"/>
                <w:sz w:val="18"/>
                <w:szCs w:val="18"/>
                <w:lang w:eastAsia="lt-LT"/>
              </w:rPr>
              <w:t>archaiškai</w:t>
            </w:r>
            <w:proofErr w:type="spellEnd"/>
            <w:r w:rsidRPr="00BA54C2">
              <w:rPr>
                <w:rFonts w:ascii="Arial" w:eastAsia="Times New Roman" w:hAnsi="Arial" w:cs="Arial"/>
                <w:sz w:val="18"/>
                <w:szCs w:val="18"/>
                <w:lang w:eastAsia="lt-LT"/>
              </w:rPr>
              <w:t xml:space="preserve"> modeliuojama erdvė. Kritikų pastebėjimu, J. Apučio pastarojo dešimtmečio prozai (apysakos “Skruzdėlynas Prūsijoje”, “Vargonų balsas skalbykloje”) būdinga istorijos interpretacija tikrovės ir fikcijos santykio paradigmoje, istorinis </w:t>
            </w:r>
            <w:proofErr w:type="spellStart"/>
            <w:r w:rsidRPr="00BA54C2">
              <w:rPr>
                <w:rFonts w:ascii="Arial" w:eastAsia="Times New Roman" w:hAnsi="Arial" w:cs="Arial"/>
                <w:sz w:val="18"/>
                <w:szCs w:val="18"/>
                <w:lang w:eastAsia="lt-LT"/>
              </w:rPr>
              <w:t>individuacijos</w:t>
            </w:r>
            <w:proofErr w:type="spellEnd"/>
            <w:r w:rsidRPr="00BA54C2">
              <w:rPr>
                <w:rFonts w:ascii="Arial" w:eastAsia="Times New Roman" w:hAnsi="Arial" w:cs="Arial"/>
                <w:sz w:val="18"/>
                <w:szCs w:val="18"/>
                <w:lang w:eastAsia="lt-LT"/>
              </w:rPr>
              <w:t xml:space="preserve"> proceso apibrėžtumas. Istorinės savimonės matmuo, istorinės tiesos alkis reikšmingas ir dešimtmečių sandūros A. Bernoto kūryboje (“</w:t>
            </w:r>
            <w:proofErr w:type="spellStart"/>
            <w:r w:rsidRPr="00BA54C2">
              <w:rPr>
                <w:rFonts w:ascii="Arial" w:eastAsia="Times New Roman" w:hAnsi="Arial" w:cs="Arial"/>
                <w:sz w:val="18"/>
                <w:szCs w:val="18"/>
                <w:lang w:eastAsia="lt-LT"/>
              </w:rPr>
              <w:t>Pigmalijono</w:t>
            </w:r>
            <w:proofErr w:type="spellEnd"/>
            <w:r w:rsidRPr="00BA54C2">
              <w:rPr>
                <w:rFonts w:ascii="Arial" w:eastAsia="Times New Roman" w:hAnsi="Arial" w:cs="Arial"/>
                <w:sz w:val="18"/>
                <w:szCs w:val="18"/>
                <w:lang w:eastAsia="lt-LT"/>
              </w:rPr>
              <w:t xml:space="preserve"> sindromas”).  </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xml:space="preserve">        Apsakymų knygos “Gyvulėlių dainavimas” įžangoje R. Granauskas (PK “Medžių viršūnės”, 1969) sakosi ryžęsis vietoj rašymo tarp eilučių rašyti tiesiog eilutėmis. Turėję išaugti į romaną, knygoje publikuojami apsakymai “Vargonai su tekinėliais”, “Gyvulėlių dainavimas” reprezentuoja tremties tematiką. Istorinės tiesos ilgesys persipina su geriausiais ankstesnės kūrybos bruožais (namų ir jos daiktų metafizika); savitai pasirinkta laiškų forma sukuria estetinį istorinio autentiškumo įspūdį. Nerimo, mirties ir laukimo patirtys, būsenos perkuriamos savita daiktų stebėjimo situacija (daiktai tampa ašimi, kuri koreguoja visą veiksmą, patirtį, iškyla kaip objektyviai egzistuojantis </w:t>
            </w:r>
            <w:proofErr w:type="spellStart"/>
            <w:r w:rsidRPr="00BA54C2">
              <w:rPr>
                <w:rFonts w:ascii="Arial" w:eastAsia="Times New Roman" w:hAnsi="Arial" w:cs="Arial"/>
                <w:sz w:val="18"/>
                <w:szCs w:val="18"/>
                <w:lang w:eastAsia="lt-LT"/>
              </w:rPr>
              <w:t>ženkliškumas</w:t>
            </w:r>
            <w:proofErr w:type="spellEnd"/>
            <w:r w:rsidRPr="00BA54C2">
              <w:rPr>
                <w:rFonts w:ascii="Arial" w:eastAsia="Times New Roman" w:hAnsi="Arial" w:cs="Arial"/>
                <w:sz w:val="18"/>
                <w:szCs w:val="18"/>
                <w:lang w:eastAsia="lt-LT"/>
              </w:rPr>
              <w:t xml:space="preserve">, atminties koncentratas), įtaigia kūno kalbos poetika, užmaršties kaip mirties, egzistencinės tuštumos semantika. Mitinėje žmogaus ir gamtos artumo paradigmoje plėtojama įsiklausančios, jautrios nebylio savimonės dinamika. J. </w:t>
            </w:r>
            <w:proofErr w:type="spellStart"/>
            <w:r w:rsidRPr="00BA54C2">
              <w:rPr>
                <w:rFonts w:ascii="Arial" w:eastAsia="Times New Roman" w:hAnsi="Arial" w:cs="Arial"/>
                <w:sz w:val="18"/>
                <w:szCs w:val="18"/>
                <w:lang w:eastAsia="lt-LT"/>
              </w:rPr>
              <w:t>Sprindytės</w:t>
            </w:r>
            <w:proofErr w:type="spellEnd"/>
            <w:r w:rsidRPr="00BA54C2">
              <w:rPr>
                <w:rFonts w:ascii="Arial" w:eastAsia="Times New Roman" w:hAnsi="Arial" w:cs="Arial"/>
                <w:sz w:val="18"/>
                <w:szCs w:val="18"/>
                <w:lang w:eastAsia="lt-LT"/>
              </w:rPr>
              <w:t xml:space="preserve"> pastebėjimu, ne apie kaimą rašo R. Granauskas, o apie protėvių paveldą, solidumą ir mirtį. Eseistinių memuarų knygą “Raudonas ant balto” sudaro dvi dalys, pagrįstos dviem skirtingais meninio vaizdo kūrimo principais. Tai – vizualaus (pirmoji dalis) ir akustinio (antroji dalis) minties perteikimo dominantės, įtaigiai pasireiškusios ir ankstesnėje prozoje, reprezentuojančios prozos lyriškumo tradiciją. Literatūriniam pirmosios knygos dalies kontekstui prisimintinas į rinktinę “Vakaras, paskui rytas” įtrauktas apsakymas “Vidurdienio dalgis”. Apsakymui ir eseistiniams atsiminimams būdingas panašus šviesos ir šešėlių žaismas, metaforinė bei siužetinė “rėkiančio raudonumo” linija. Istoriškai bei estetiškai motyvuotas kraujo motyvas iškyla kaip pasakojimo dinamizmo šaltinis, pagrindinis simbolis. Sumaniai išdėstomi vizualiniai akcentai ženklina esamo ir buvusio laiko opozicijas. Memuarų pradžioje iškeliama skirtis tarp individualių prisiminimų ir visuotinumo žymę turinčios atminties galėtų tapti kodu ne vienam pasakojimui suprasti. Pažeista istorinė tikrovė antroje knygos dalyje atsiveria ne tiek spalvos, vaizdo, kiek muzikos garsų pavidalais (“į šiurpą varantys garsai”), kurie </w:t>
            </w:r>
            <w:proofErr w:type="spellStart"/>
            <w:r w:rsidRPr="00BA54C2">
              <w:rPr>
                <w:rFonts w:ascii="Arial" w:eastAsia="Times New Roman" w:hAnsi="Arial" w:cs="Arial"/>
                <w:sz w:val="18"/>
                <w:szCs w:val="18"/>
                <w:lang w:eastAsia="lt-LT"/>
              </w:rPr>
              <w:t>kompoziciškai</w:t>
            </w:r>
            <w:proofErr w:type="spellEnd"/>
            <w:r w:rsidRPr="00BA54C2">
              <w:rPr>
                <w:rFonts w:ascii="Arial" w:eastAsia="Times New Roman" w:hAnsi="Arial" w:cs="Arial"/>
                <w:sz w:val="18"/>
                <w:szCs w:val="18"/>
                <w:lang w:eastAsia="lt-LT"/>
              </w:rPr>
              <w:t xml:space="preserve"> vienija tam tikrus atminties įvykius, jiems suteikia subjektyvių prisiminimų simbolikos. Vėlgi ryškus ankstesnės prozos momentas: vario dūdos, laidotuvių muzikantai apsakyme “Muzikantai” perkuria skausmą, tiesa, susidūrus ne tiek su prievartine, kiek su natūralia, tačiau ne mažiau paslapties turinčia jaunos moters mirtimi. Žodžio refleksija, namų būtis – R. Granausko esė “Žodžio agonija” semantinės dominantės. Žodžio, kūrybos dimensija rašytojo plėtojama krikščionybės (įsikūnijusio Žodžio) reikšmių horizonte. “Žodžio agonijoje” apmąstomas dabarties kultūroje atpažįstami kultūros nykimo ženklai, - šiuo ir kitais aspektais išryškėjant idėjinėms R. Granausko ir B. Radzevičiaus idėjinėms bendrybėms. J. </w:t>
            </w:r>
            <w:proofErr w:type="spellStart"/>
            <w:r w:rsidRPr="00BA54C2">
              <w:rPr>
                <w:rFonts w:ascii="Arial" w:eastAsia="Times New Roman" w:hAnsi="Arial" w:cs="Arial"/>
                <w:sz w:val="18"/>
                <w:szCs w:val="18"/>
                <w:lang w:eastAsia="lt-LT"/>
              </w:rPr>
              <w:t>Sprindytės</w:t>
            </w:r>
            <w:proofErr w:type="spellEnd"/>
            <w:r w:rsidRPr="00BA54C2">
              <w:rPr>
                <w:rFonts w:ascii="Arial" w:eastAsia="Times New Roman" w:hAnsi="Arial" w:cs="Arial"/>
                <w:sz w:val="18"/>
                <w:szCs w:val="18"/>
                <w:lang w:eastAsia="lt-LT"/>
              </w:rPr>
              <w:t xml:space="preserve"> pastebėjimu, “esė tekstuose daugoka jausmingumo, kuris apsakymuose sublimuotas į figūrinį lygmenį. Apsakymų rišlumas, darni struktūra ir simbolių sąskambiai atstoja retorinį aiškių dalykų aiškinimą, kartais neišvengiamą esė”. </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xml:space="preserve">        J. </w:t>
            </w:r>
            <w:proofErr w:type="spellStart"/>
            <w:r w:rsidRPr="00BA54C2">
              <w:rPr>
                <w:rFonts w:ascii="Arial" w:eastAsia="Times New Roman" w:hAnsi="Arial" w:cs="Arial"/>
                <w:sz w:val="18"/>
                <w:szCs w:val="18"/>
                <w:lang w:eastAsia="lt-LT"/>
              </w:rPr>
              <w:t>Sprindytės</w:t>
            </w:r>
            <w:proofErr w:type="spellEnd"/>
            <w:r w:rsidRPr="00BA54C2">
              <w:rPr>
                <w:rFonts w:ascii="Arial" w:eastAsia="Times New Roman" w:hAnsi="Arial" w:cs="Arial"/>
                <w:sz w:val="18"/>
                <w:szCs w:val="18"/>
                <w:lang w:eastAsia="lt-LT"/>
              </w:rPr>
              <w:t xml:space="preserve"> pastebėjimu, vietoj ankstesnėje J. Apučio kūryboje (PK “Žydi bičių duona”, 1963) dominuojančio emocinio praeities traktavimo naujausiose apysakose radosi konceptuali mintis, tiesioginė fabula, rupi konkretybė, atpalaiduojanti nuo tiesioginės kalbos. Skirtingą santykį su praeities ir dabarties, istorine bei psichologine tikrove apysakoje “Vargonų balsas skalbykloje” reprezentuoja simboliški trijų personažų likimai. “Tas prakeiktas harmonijos, tobulumo troškulys” Beno refleksijoje yra tęstinis J. Apučio kūrybos akcentas, pagrindinio herojaus apmąstymais tampantis apysakos veiksmo varikliu. “Skruzdėlynas Prūsijoje” atliepia kitą J. Apučio kūrybos kryptį, atsiskleidusią dar novelėje “Užšalusios skulptūrų akys”. Apysakai būdinga sąlygiškumo, sapno, intensyvios vidinės ir išorinės erdvės sąveikos poetika. Herojų apsisprendimas (savižudybei analogiškas pasitraukimas į Prūsiją) iškyla tarsi vidinės tikrovės įvykis, turintis pasirenkamos mirties kaip egzistencialistinės patirties bruožų. Alegoriškumo bei </w:t>
            </w:r>
            <w:proofErr w:type="spellStart"/>
            <w:r w:rsidRPr="00BA54C2">
              <w:rPr>
                <w:rFonts w:ascii="Arial" w:eastAsia="Times New Roman" w:hAnsi="Arial" w:cs="Arial"/>
                <w:sz w:val="18"/>
                <w:szCs w:val="18"/>
                <w:lang w:eastAsia="lt-LT"/>
              </w:rPr>
              <w:t>simboliškumo</w:t>
            </w:r>
            <w:proofErr w:type="spellEnd"/>
            <w:r w:rsidRPr="00BA54C2">
              <w:rPr>
                <w:rFonts w:ascii="Arial" w:eastAsia="Times New Roman" w:hAnsi="Arial" w:cs="Arial"/>
                <w:sz w:val="18"/>
                <w:szCs w:val="18"/>
                <w:lang w:eastAsia="lt-LT"/>
              </w:rPr>
              <w:t xml:space="preserve"> įgyja ne tik daugelis įvykių, vaizdinių, bet ir realistinė ligoninės, kita erdvė. Personažų charakteriais, fabulos įvykiais plėtojami kūno ir dvasios santykiai tampa istorinės ir kultūrinės savimonės, autentiškumo ir prievartos santykio ženklais. Idėjinėje apysakos plotmėje dominuoja istorijos ir asmens sąveikos, pažinimo problematika.  </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xml:space="preserve">        S. Šaltenio (PK “Atostogos”, 1966) romanas “Kalės vaikai” suvoktinas atsinaujinančios istorinės savimonės, modernaus pasakojimo bruožų turinčio pasakojimo paradigmoje. Romane savitai skleidžiasi Prūsijos gyvenimo tipologija. Šiame kontekste prisimintina J. Apučio, B. </w:t>
            </w:r>
            <w:proofErr w:type="spellStart"/>
            <w:r w:rsidRPr="00BA54C2">
              <w:rPr>
                <w:rFonts w:ascii="Arial" w:eastAsia="Times New Roman" w:hAnsi="Arial" w:cs="Arial"/>
                <w:sz w:val="18"/>
                <w:szCs w:val="18"/>
                <w:lang w:eastAsia="lt-LT"/>
              </w:rPr>
              <w:t>Baltrušaitytės</w:t>
            </w:r>
            <w:proofErr w:type="spellEnd"/>
            <w:r w:rsidRPr="00BA54C2">
              <w:rPr>
                <w:rFonts w:ascii="Arial" w:eastAsia="Times New Roman" w:hAnsi="Arial" w:cs="Arial"/>
                <w:sz w:val="18"/>
                <w:szCs w:val="18"/>
                <w:lang w:eastAsia="lt-LT"/>
              </w:rPr>
              <w:t xml:space="preserve"> (mitologinis pamatas) kūryba. Romane “Kalės vaikai” iškylantis Mažosios Lietuvos kontekstas, dramatiškas Kristijono likimas, kritikos pastebėjimu, skleidžiasi kaip dvasinių, emocinių pradų raiškos sfera. K. Donelaitį bei M. Valančių moderniai stilizuojančiu pasakojimu, ypatinga šalutinių personažų tipologija kuriama netradicinė pagrindinio personažo - pamokslininko ir rašytojo - figūra. Pamokslavimas (socialinis, moralinis, psichologinis jo matmuo) iškyla kaip ypatingos kūrybinės laikysenos motyvacija. Personažų tipologijoje </w:t>
            </w:r>
            <w:r w:rsidRPr="00BA54C2">
              <w:rPr>
                <w:rFonts w:ascii="Arial" w:eastAsia="Times New Roman" w:hAnsi="Arial" w:cs="Arial"/>
                <w:sz w:val="18"/>
                <w:szCs w:val="18"/>
                <w:lang w:eastAsia="lt-LT"/>
              </w:rPr>
              <w:lastRenderedPageBreak/>
              <w:t xml:space="preserve">svarbus ne tiek moralinis vertinimas, ne tiek tam tikra vertybių hierarchija (ryški J. Apučio, B. Radzevičiaus kūryboje), kiek žemųjų instinktų kaip objektyvios tikrovės motyvacija. Ypatingą atmosferą kuria žema arba neaiški veikėjų kilmė, tam tikra prasme alternatyvinė būsena ir laikysena. Romane iškylantis mirties motyvas savo motyvacijoje jungia “rimtąjį” ir “žaismingąjį” santykį su tikrove. Keli tos pačios mirties variantai įkūnija istorinės tiesos nepatikimumą, idėjinę netikrumo dominantę vaizduojamo pasaulio tikrovėje. Kultūrinės atminties ir asmens dramos bruožų turinti istorinė praeitis romane yra tarsi modeliuojama atsitiktinės situacijų sampynos, pasakotojo pasirinktos pozicijos. Istorinė praeitis kaip tam tikras tautinio mentaliteto tipas perkuriamas ir atskiromis parafrazėmis, metaforomis. Modernistinę S. Šaltenio pasakojimo tapatybę galima atpažinti remiantis E. Ališankos aktualizuojamomis postmodernistiniais pasakojimo principais: “pasaulis kaip daugelio susipynusių istorijų pasaulis” (anekdotinių situacijų virtinė); pasakojimas, neturintis apibrėžtos krypties, klaidžiojanti pasakotojo linija, etinis reliatyvizmas. J. </w:t>
            </w:r>
            <w:proofErr w:type="spellStart"/>
            <w:r w:rsidRPr="00BA54C2">
              <w:rPr>
                <w:rFonts w:ascii="Arial" w:eastAsia="Times New Roman" w:hAnsi="Arial" w:cs="Arial"/>
                <w:sz w:val="18"/>
                <w:szCs w:val="18"/>
                <w:lang w:eastAsia="lt-LT"/>
              </w:rPr>
              <w:t>Sprindytės</w:t>
            </w:r>
            <w:proofErr w:type="spellEnd"/>
            <w:r w:rsidRPr="00BA54C2">
              <w:rPr>
                <w:rFonts w:ascii="Arial" w:eastAsia="Times New Roman" w:hAnsi="Arial" w:cs="Arial"/>
                <w:sz w:val="18"/>
                <w:szCs w:val="18"/>
                <w:lang w:eastAsia="lt-LT"/>
              </w:rPr>
              <w:t xml:space="preserve"> teigimu, S. Šaltenį, J. Aputį, R. Granauską vienija </w:t>
            </w:r>
            <w:proofErr w:type="spellStart"/>
            <w:r w:rsidRPr="00BA54C2">
              <w:rPr>
                <w:rFonts w:ascii="Arial" w:eastAsia="Times New Roman" w:hAnsi="Arial" w:cs="Arial"/>
                <w:sz w:val="18"/>
                <w:szCs w:val="18"/>
                <w:lang w:eastAsia="lt-LT"/>
              </w:rPr>
              <w:t>baltiškojo</w:t>
            </w:r>
            <w:proofErr w:type="spellEnd"/>
            <w:r w:rsidRPr="00BA54C2">
              <w:rPr>
                <w:rFonts w:ascii="Arial" w:eastAsia="Times New Roman" w:hAnsi="Arial" w:cs="Arial"/>
                <w:sz w:val="18"/>
                <w:szCs w:val="18"/>
                <w:lang w:eastAsia="lt-LT"/>
              </w:rPr>
              <w:t xml:space="preserve"> problemų epicentro trauka, etnokultūrinė lietuvių, prūsų, kuršių atminties tematika dera su universalaus žmogiškumo problematika. </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xml:space="preserve">        Sustiprėjusią literatūrinę istorinės savimonės raišką 90-aisiais reprezentuoja ir R. Klimo proza (PK “Paukščių lesinimo šventė”, 1971). Ryškiausias knygos “Gintė ir jos žmogus” kūrinys yra to paties pavadinimo apysaka. Potekstėmis išsakyta tiesa apie politines okupacijas ir pokario situacijos išprovokuotą išskirtinę žmogaus laikyseną. R. Klimo pasakojimui būdinga modernaus eksperimentavimo orientacija: </w:t>
            </w:r>
            <w:proofErr w:type="spellStart"/>
            <w:r w:rsidRPr="00BA54C2">
              <w:rPr>
                <w:rFonts w:ascii="Arial" w:eastAsia="Times New Roman" w:hAnsi="Arial" w:cs="Arial"/>
                <w:sz w:val="18"/>
                <w:szCs w:val="18"/>
                <w:lang w:eastAsia="lt-LT"/>
              </w:rPr>
              <w:t>polifoniškoje</w:t>
            </w:r>
            <w:proofErr w:type="spellEnd"/>
            <w:r w:rsidRPr="00BA54C2">
              <w:rPr>
                <w:rFonts w:ascii="Arial" w:eastAsia="Times New Roman" w:hAnsi="Arial" w:cs="Arial"/>
                <w:sz w:val="18"/>
                <w:szCs w:val="18"/>
                <w:lang w:eastAsia="lt-LT"/>
              </w:rPr>
              <w:t xml:space="preserve"> pasakotojo perspektyvoje pateikiami keli istorijos variantai. Tai galima suvokti kaip intensyvų dramatiškos istorinės tiesos ieškojimą. Kita vertus, ryškūs reveransai sovietinei ideologijai. Romane “Tiktai ugnis išgydys?” iškylančioje istorijos sampratoje galima atpažinti B. Sruogos istorinės dramos tipologiją, V. Krėvės, Putino kūrybos ženklų. Romano autoriui rūpi ne tiek istorinės realijos, kiek žmogaus dvasios vystymasis. Renesanso laikotarpiui būdingą tikybų gausą savo sąmonėje derina intelektualiai pajėgus ir giliai tikintis herojus – jėzuitų vienuolis. Plėtojamos tikėjimo gelmės ir paviršiaus, tautiškumo, valstybingumo, tam tikros bendruomenės ir asmens valios santykio, kitos problemos. Romane E. </w:t>
            </w:r>
            <w:proofErr w:type="spellStart"/>
            <w:r w:rsidRPr="00BA54C2">
              <w:rPr>
                <w:rFonts w:ascii="Arial" w:eastAsia="Times New Roman" w:hAnsi="Arial" w:cs="Arial"/>
                <w:sz w:val="18"/>
                <w:szCs w:val="18"/>
                <w:lang w:eastAsia="lt-LT"/>
              </w:rPr>
              <w:t>Bukelienė</w:t>
            </w:r>
            <w:proofErr w:type="spellEnd"/>
            <w:r w:rsidRPr="00BA54C2">
              <w:rPr>
                <w:rFonts w:ascii="Arial" w:eastAsia="Times New Roman" w:hAnsi="Arial" w:cs="Arial"/>
                <w:sz w:val="18"/>
                <w:szCs w:val="18"/>
                <w:lang w:eastAsia="lt-LT"/>
              </w:rPr>
              <w:t xml:space="preserve"> iškelia socializmo ir viduramžių sistemos asociacijas, tačiau A. Kalėda kūrinį priskiria tik daug žadantiem eksperimentams. </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xml:space="preserve">        Skirtingos kartos prozininkių B. </w:t>
            </w:r>
            <w:proofErr w:type="spellStart"/>
            <w:r w:rsidRPr="00BA54C2">
              <w:rPr>
                <w:rFonts w:ascii="Arial" w:eastAsia="Times New Roman" w:hAnsi="Arial" w:cs="Arial"/>
                <w:sz w:val="18"/>
                <w:szCs w:val="18"/>
                <w:lang w:eastAsia="lt-LT"/>
              </w:rPr>
              <w:t>Vilimaitės</w:t>
            </w:r>
            <w:proofErr w:type="spellEnd"/>
            <w:r w:rsidRPr="00BA54C2">
              <w:rPr>
                <w:rFonts w:ascii="Arial" w:eastAsia="Times New Roman" w:hAnsi="Arial" w:cs="Arial"/>
                <w:sz w:val="18"/>
                <w:szCs w:val="18"/>
                <w:lang w:eastAsia="lt-LT"/>
              </w:rPr>
              <w:t xml:space="preserve"> (“Užpustytas traukinys”) ir V. Juknaitės (“Šermenys”), V. Jasukaitytės (“Stebuklinga patvorių žolė”), J. </w:t>
            </w:r>
            <w:proofErr w:type="spellStart"/>
            <w:r w:rsidRPr="00BA54C2">
              <w:rPr>
                <w:rFonts w:ascii="Arial" w:eastAsia="Times New Roman" w:hAnsi="Arial" w:cs="Arial"/>
                <w:sz w:val="18"/>
                <w:szCs w:val="18"/>
                <w:lang w:eastAsia="lt-LT"/>
              </w:rPr>
              <w:t>Skablauskaitės</w:t>
            </w:r>
            <w:proofErr w:type="spellEnd"/>
            <w:r w:rsidRPr="00BA54C2">
              <w:rPr>
                <w:rFonts w:ascii="Arial" w:eastAsia="Times New Roman" w:hAnsi="Arial" w:cs="Arial"/>
                <w:sz w:val="18"/>
                <w:szCs w:val="18"/>
                <w:lang w:eastAsia="lt-LT"/>
              </w:rPr>
              <w:t xml:space="preserve"> (“Liūnsargių moteris”) prozą sieja ir sykiu individualizuoja (pasitelkiant vieną ar kitą semantinę bei poetinę </w:t>
            </w:r>
            <w:proofErr w:type="spellStart"/>
            <w:r w:rsidRPr="00BA54C2">
              <w:rPr>
                <w:rFonts w:ascii="Arial" w:eastAsia="Times New Roman" w:hAnsi="Arial" w:cs="Arial"/>
                <w:sz w:val="18"/>
                <w:szCs w:val="18"/>
                <w:lang w:eastAsia="lt-LT"/>
              </w:rPr>
              <w:t>konkretiką</w:t>
            </w:r>
            <w:proofErr w:type="spellEnd"/>
            <w:r w:rsidRPr="00BA54C2">
              <w:rPr>
                <w:rFonts w:ascii="Arial" w:eastAsia="Times New Roman" w:hAnsi="Arial" w:cs="Arial"/>
                <w:sz w:val="18"/>
                <w:szCs w:val="18"/>
                <w:lang w:eastAsia="lt-LT"/>
              </w:rPr>
              <w:t xml:space="preserve">) romantinė vaizdavimo tradicija, kurios </w:t>
            </w:r>
            <w:proofErr w:type="spellStart"/>
            <w:r w:rsidRPr="00BA54C2">
              <w:rPr>
                <w:rFonts w:ascii="Arial" w:eastAsia="Times New Roman" w:hAnsi="Arial" w:cs="Arial"/>
                <w:sz w:val="18"/>
                <w:szCs w:val="18"/>
                <w:lang w:eastAsia="lt-LT"/>
              </w:rPr>
              <w:t>epistemoje</w:t>
            </w:r>
            <w:proofErr w:type="spellEnd"/>
            <w:r w:rsidRPr="00BA54C2">
              <w:rPr>
                <w:rFonts w:ascii="Arial" w:eastAsia="Times New Roman" w:hAnsi="Arial" w:cs="Arial"/>
                <w:sz w:val="18"/>
                <w:szCs w:val="18"/>
                <w:lang w:eastAsia="lt-LT"/>
              </w:rPr>
              <w:t xml:space="preserve"> (remiantis R. </w:t>
            </w:r>
            <w:proofErr w:type="spellStart"/>
            <w:r w:rsidRPr="00BA54C2">
              <w:rPr>
                <w:rFonts w:ascii="Arial" w:eastAsia="Times New Roman" w:hAnsi="Arial" w:cs="Arial"/>
                <w:sz w:val="18"/>
                <w:szCs w:val="18"/>
                <w:lang w:eastAsia="lt-LT"/>
              </w:rPr>
              <w:t>Tūtlytės</w:t>
            </w:r>
            <w:proofErr w:type="spellEnd"/>
            <w:r w:rsidRPr="00BA54C2">
              <w:rPr>
                <w:rFonts w:ascii="Arial" w:eastAsia="Times New Roman" w:hAnsi="Arial" w:cs="Arial"/>
                <w:sz w:val="18"/>
                <w:szCs w:val="18"/>
                <w:lang w:eastAsia="lt-LT"/>
              </w:rPr>
              <w:t xml:space="preserve">, B. </w:t>
            </w:r>
            <w:proofErr w:type="spellStart"/>
            <w:r w:rsidRPr="00BA54C2">
              <w:rPr>
                <w:rFonts w:ascii="Arial" w:eastAsia="Times New Roman" w:hAnsi="Arial" w:cs="Arial"/>
                <w:sz w:val="18"/>
                <w:szCs w:val="18"/>
                <w:lang w:eastAsia="lt-LT"/>
              </w:rPr>
              <w:t>Ciplijauskaitės</w:t>
            </w:r>
            <w:proofErr w:type="spellEnd"/>
            <w:r w:rsidRPr="00BA54C2">
              <w:rPr>
                <w:rFonts w:ascii="Arial" w:eastAsia="Times New Roman" w:hAnsi="Arial" w:cs="Arial"/>
                <w:sz w:val="18"/>
                <w:szCs w:val="18"/>
                <w:lang w:eastAsia="lt-LT"/>
              </w:rPr>
              <w:t xml:space="preserve"> ir kita kritika) galima matyti praeities idealizavimą; laikiškumo (laikinumo) ir amžinybės, gyvybės ir mirties santykio sklaidą; moters </w:t>
            </w:r>
            <w:proofErr w:type="spellStart"/>
            <w:r w:rsidRPr="00BA54C2">
              <w:rPr>
                <w:rFonts w:ascii="Arial" w:eastAsia="Times New Roman" w:hAnsi="Arial" w:cs="Arial"/>
                <w:sz w:val="18"/>
                <w:szCs w:val="18"/>
                <w:lang w:eastAsia="lt-LT"/>
              </w:rPr>
              <w:t>gamtiškumo</w:t>
            </w:r>
            <w:proofErr w:type="spellEnd"/>
            <w:r w:rsidRPr="00BA54C2">
              <w:rPr>
                <w:rFonts w:ascii="Arial" w:eastAsia="Times New Roman" w:hAnsi="Arial" w:cs="Arial"/>
                <w:sz w:val="18"/>
                <w:szCs w:val="18"/>
                <w:lang w:eastAsia="lt-LT"/>
              </w:rPr>
              <w:t xml:space="preserve"> pradą; tam tikru principu motyvuotą moters individualumo (individualizmo) akcentą (turintį ir feministinės literatūros žymių); tam tikrą herojų charakterio </w:t>
            </w:r>
            <w:proofErr w:type="spellStart"/>
            <w:r w:rsidRPr="00BA54C2">
              <w:rPr>
                <w:rFonts w:ascii="Arial" w:eastAsia="Times New Roman" w:hAnsi="Arial" w:cs="Arial"/>
                <w:sz w:val="18"/>
                <w:szCs w:val="18"/>
                <w:lang w:eastAsia="lt-LT"/>
              </w:rPr>
              <w:t>misionieriškumą</w:t>
            </w:r>
            <w:proofErr w:type="spellEnd"/>
            <w:r w:rsidRPr="00BA54C2">
              <w:rPr>
                <w:rFonts w:ascii="Arial" w:eastAsia="Times New Roman" w:hAnsi="Arial" w:cs="Arial"/>
                <w:sz w:val="18"/>
                <w:szCs w:val="18"/>
                <w:lang w:eastAsia="lt-LT"/>
              </w:rPr>
              <w:t xml:space="preserve">; (neoromantinį) buities, kasdienybės sakralizavimą; </w:t>
            </w:r>
            <w:proofErr w:type="spellStart"/>
            <w:r w:rsidRPr="00BA54C2">
              <w:rPr>
                <w:rFonts w:ascii="Arial" w:eastAsia="Times New Roman" w:hAnsi="Arial" w:cs="Arial"/>
                <w:sz w:val="18"/>
                <w:szCs w:val="18"/>
                <w:lang w:eastAsia="lt-LT"/>
              </w:rPr>
              <w:t>baladišką</w:t>
            </w:r>
            <w:proofErr w:type="spellEnd"/>
            <w:r w:rsidRPr="00BA54C2">
              <w:rPr>
                <w:rFonts w:ascii="Arial" w:eastAsia="Times New Roman" w:hAnsi="Arial" w:cs="Arial"/>
                <w:sz w:val="18"/>
                <w:szCs w:val="18"/>
                <w:lang w:eastAsia="lt-LT"/>
              </w:rPr>
              <w:t xml:space="preserve">, elegišką bei nostalgišką skambėjimą; atvirą emocionalumą (emocijas perkeliant į daiktus ir aplinką) ir </w:t>
            </w:r>
            <w:proofErr w:type="spellStart"/>
            <w:r w:rsidRPr="00BA54C2">
              <w:rPr>
                <w:rFonts w:ascii="Arial" w:eastAsia="Times New Roman" w:hAnsi="Arial" w:cs="Arial"/>
                <w:sz w:val="18"/>
                <w:szCs w:val="18"/>
                <w:lang w:eastAsia="lt-LT"/>
              </w:rPr>
              <w:t>vizionierišką</w:t>
            </w:r>
            <w:proofErr w:type="spellEnd"/>
            <w:r w:rsidRPr="00BA54C2">
              <w:rPr>
                <w:rFonts w:ascii="Arial" w:eastAsia="Times New Roman" w:hAnsi="Arial" w:cs="Arial"/>
                <w:sz w:val="18"/>
                <w:szCs w:val="18"/>
                <w:lang w:eastAsia="lt-LT"/>
              </w:rPr>
              <w:t xml:space="preserve"> vaizdavimo pobūdį, lyrinį pasakojimą; kompozicinį paslapties, nematomų ryšių tarp išorės ir vidaus pasaulio kaip pasakojimą stumiančios linijos principą.</w:t>
            </w:r>
            <w:r w:rsidRPr="00BA54C2">
              <w:rPr>
                <w:rFonts w:ascii="Arial" w:eastAsia="Times New Roman" w:hAnsi="Arial" w:cs="Arial"/>
                <w:sz w:val="18"/>
                <w:szCs w:val="18"/>
                <w:lang w:eastAsia="lt-LT"/>
              </w:rPr>
              <w:br/>
            </w:r>
            <w:r w:rsidRPr="00BA54C2">
              <w:rPr>
                <w:rFonts w:ascii="Arial" w:eastAsia="Times New Roman" w:hAnsi="Arial" w:cs="Arial"/>
                <w:sz w:val="18"/>
                <w:szCs w:val="18"/>
                <w:lang w:eastAsia="lt-LT"/>
              </w:rPr>
              <w:br/>
              <w:t>        Šiaulių universitetas </w:t>
            </w:r>
            <w:r w:rsidRPr="00BA54C2">
              <w:rPr>
                <w:rFonts w:ascii="Arial" w:eastAsia="Times New Roman" w:hAnsi="Arial" w:cs="Arial"/>
                <w:sz w:val="18"/>
                <w:szCs w:val="18"/>
                <w:lang w:eastAsia="lt-LT"/>
              </w:rPr>
              <w:br/>
              <w:t>        Lietuvių literatūros katedra</w:t>
            </w:r>
            <w:r w:rsidRPr="00BA54C2">
              <w:rPr>
                <w:rFonts w:ascii="Arial" w:eastAsia="Times New Roman" w:hAnsi="Arial" w:cs="Arial"/>
                <w:sz w:val="18"/>
                <w:szCs w:val="18"/>
                <w:lang w:eastAsia="lt-LT"/>
              </w:rPr>
              <w:br/>
              <w:t xml:space="preserve">        </w:t>
            </w:r>
            <w:r w:rsidRPr="00BA54C2">
              <w:rPr>
                <w:rFonts w:ascii="Arial" w:eastAsia="Times New Roman" w:hAnsi="Arial" w:cs="Arial"/>
                <w:b/>
                <w:bCs/>
                <w:sz w:val="18"/>
                <w:szCs w:val="18"/>
                <w:lang w:eastAsia="lt-LT"/>
              </w:rPr>
              <w:t>PASKAITŲ KONSPEKTAS</w:t>
            </w:r>
            <w:r w:rsidRPr="00BA54C2">
              <w:rPr>
                <w:rFonts w:ascii="Arial" w:eastAsia="Times New Roman" w:hAnsi="Arial" w:cs="Arial"/>
                <w:b/>
                <w:bCs/>
                <w:sz w:val="18"/>
                <w:szCs w:val="18"/>
                <w:lang w:eastAsia="lt-LT"/>
              </w:rPr>
              <w:br/>
            </w:r>
            <w:r w:rsidRPr="00BA54C2">
              <w:rPr>
                <w:rFonts w:ascii="Arial" w:eastAsia="Times New Roman" w:hAnsi="Arial" w:cs="Arial"/>
                <w:sz w:val="18"/>
                <w:szCs w:val="18"/>
                <w:lang w:eastAsia="lt-LT"/>
              </w:rPr>
              <w:t>        Aprobuotas Humanitarinio fakulteto tarybos </w:t>
            </w:r>
            <w:r w:rsidRPr="00BA54C2">
              <w:rPr>
                <w:rFonts w:ascii="Arial" w:eastAsia="Times New Roman" w:hAnsi="Arial" w:cs="Arial"/>
                <w:sz w:val="18"/>
                <w:szCs w:val="18"/>
                <w:lang w:eastAsia="lt-LT"/>
              </w:rPr>
              <w:br/>
              <w:t>        (2003-02-03; protokolo Nr. 52)</w:t>
            </w:r>
          </w:p>
        </w:tc>
      </w:tr>
    </w:tbl>
    <w:p w:rsidR="0030033B" w:rsidRDefault="0030033B"/>
    <w:sectPr w:rsidR="0030033B" w:rsidSect="0030033B">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BA54C2"/>
    <w:rsid w:val="0030033B"/>
    <w:rsid w:val="00BA54C2"/>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0033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BA54C2"/>
    <w:pPr>
      <w:spacing w:after="0"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BA54C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A54C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5159941">
      <w:bodyDiv w:val="1"/>
      <w:marLeft w:val="0"/>
      <w:marRight w:val="0"/>
      <w:marTop w:val="0"/>
      <w:marBottom w:val="0"/>
      <w:divBdr>
        <w:top w:val="none" w:sz="0" w:space="0" w:color="auto"/>
        <w:left w:val="none" w:sz="0" w:space="0" w:color="auto"/>
        <w:bottom w:val="none" w:sz="0" w:space="0" w:color="auto"/>
        <w:right w:val="none" w:sz="0" w:space="0" w:color="auto"/>
      </w:divBdr>
      <w:divsChild>
        <w:div w:id="1009065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ekstai.lt/images/stories/reklama/dalia%20jakaite.jpg"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ekstai.lt/component/mailto/?tmpl=component&amp;link=aHR0cDovL3d3dy50ZWtzdGFpLmx0L2NvbXBvbmVudC9jb250ZW50L2FydGljbGUvMjE2MC1kYWxpYS1qYWthaXRlLWlzdG9yaW5lcy1zYXZpbW9uZXMtcmFpc2thLW5hdWphdXNpb2plLTMwLTUwLWthcnRvcy1wcm96b2plLmh0bWw%3D"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http://www.tekstai.lt/component/content/2160-dalia-jakaite-istorines-savimones-raiska-naujausioje-30-50-kartos-prozoje.html?tmpl=component&amp;print=1&amp;page=" TargetMode="External"/><Relationship Id="rId9" Type="http://schemas.openxmlformats.org/officeDocument/2006/relationships/image" Target="media/image3.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6707</Words>
  <Characters>3824</Characters>
  <Application>Microsoft Office Word</Application>
  <DocSecurity>0</DocSecurity>
  <Lines>31</Lines>
  <Paragraphs>21</Paragraphs>
  <ScaleCrop>false</ScaleCrop>
  <Company/>
  <LinksUpToDate>false</LinksUpToDate>
  <CharactersWithSpaces>10510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2010-04-28T13:11:00Z</dcterms:created>
  <dcterms:modified xsi:type="dcterms:W3CDTF">2010-04-28T13:11:00Z</dcterms:modified>
</cp:coreProperties>
</file>